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2E76" w14:textId="7CBEC386" w:rsidR="002E7A4A" w:rsidRDefault="002E7A4A" w:rsidP="002E7A4A">
      <w:pPr>
        <w:tabs>
          <w:tab w:val="left" w:pos="1800"/>
          <w:tab w:val="center" w:pos="4536"/>
          <w:tab w:val="right" w:pos="9638"/>
        </w:tabs>
        <w:ind w:left="1800" w:hanging="1800"/>
        <w:rPr>
          <w:rFonts w:ascii="Arial" w:eastAsia="Tahoma" w:hAnsi="Arial" w:cs="Arial"/>
          <w:b/>
          <w:bCs/>
          <w:i/>
          <w:sz w:val="22"/>
        </w:rPr>
      </w:pPr>
      <w:bookmarkStart w:id="0" w:name="OLE_LINK3"/>
      <w:r>
        <w:rPr>
          <w:rFonts w:ascii="Arial" w:eastAsia="Tahoma" w:hAnsi="Arial" w:cs="Arial"/>
          <w:b/>
          <w:bCs/>
          <w:sz w:val="22"/>
        </w:rPr>
        <w:t>3GPP TSG-RAN WG2 Meeting #124</w:t>
      </w:r>
      <w:r>
        <w:rPr>
          <w:rFonts w:ascii="Arial" w:eastAsia="Tahoma" w:hAnsi="Arial" w:cs="Arial"/>
          <w:b/>
          <w:bCs/>
          <w:sz w:val="22"/>
        </w:rPr>
        <w:tab/>
      </w:r>
      <w:r>
        <w:rPr>
          <w:rFonts w:ascii="Arial" w:eastAsia="Tahoma" w:hAnsi="Arial" w:cs="Arial"/>
          <w:b/>
          <w:bCs/>
          <w:i/>
          <w:sz w:val="22"/>
        </w:rPr>
        <w:tab/>
      </w:r>
      <w:r>
        <w:rPr>
          <w:rFonts w:ascii="Arial" w:eastAsia="Tahoma" w:hAnsi="Arial" w:cs="Arial"/>
          <w:b/>
          <w:bCs/>
          <w:sz w:val="22"/>
        </w:rPr>
        <w:t>R2-2311898</w:t>
      </w:r>
    </w:p>
    <w:p w14:paraId="30EC6094" w14:textId="2B02B861" w:rsidR="002E7A4A" w:rsidRDefault="002E7A4A" w:rsidP="002E7A4A">
      <w:pPr>
        <w:tabs>
          <w:tab w:val="left" w:pos="1800"/>
          <w:tab w:val="center" w:pos="4536"/>
          <w:tab w:val="right" w:pos="9639"/>
        </w:tabs>
        <w:spacing w:after="120"/>
        <w:rPr>
          <w:rFonts w:ascii="Times New Roman" w:eastAsia="宋体" w:hAnsi="Times New Roman"/>
          <w:sz w:val="22"/>
          <w:szCs w:val="24"/>
        </w:rPr>
      </w:pPr>
      <w:r>
        <w:rPr>
          <w:rFonts w:ascii="Arial" w:eastAsia="Tahoma" w:hAnsi="Arial" w:cs="Arial"/>
          <w:b/>
          <w:bCs/>
          <w:sz w:val="22"/>
        </w:rPr>
        <w:t>Chicago, USA, 13</w:t>
      </w:r>
      <w:r>
        <w:rPr>
          <w:rFonts w:ascii="Arial" w:eastAsia="Tahoma" w:hAnsi="Arial" w:cs="Arial"/>
          <w:b/>
          <w:bCs/>
          <w:sz w:val="22"/>
          <w:vertAlign w:val="superscript"/>
        </w:rPr>
        <w:t>th</w:t>
      </w:r>
      <w:r>
        <w:rPr>
          <w:rFonts w:ascii="Arial" w:eastAsia="Tahoma" w:hAnsi="Arial" w:cs="Arial"/>
          <w:b/>
          <w:bCs/>
          <w:sz w:val="22"/>
        </w:rPr>
        <w:t xml:space="preserve"> Nov. – 17</w:t>
      </w:r>
      <w:r>
        <w:rPr>
          <w:rFonts w:ascii="Arial" w:eastAsia="Tahoma" w:hAnsi="Arial" w:cs="Arial"/>
          <w:b/>
          <w:bCs/>
          <w:sz w:val="22"/>
          <w:vertAlign w:val="superscript"/>
        </w:rPr>
        <w:t>th</w:t>
      </w:r>
      <w:r>
        <w:rPr>
          <w:rFonts w:ascii="Arial" w:eastAsia="Tahoma" w:hAnsi="Arial" w:cs="Arial"/>
          <w:b/>
          <w:bCs/>
          <w:sz w:val="22"/>
        </w:rPr>
        <w:t xml:space="preserve"> Nov. 2023</w:t>
      </w:r>
    </w:p>
    <w:p w14:paraId="7741C86E" w14:textId="77777777" w:rsidR="002E7A4A" w:rsidRDefault="002E7A4A" w:rsidP="002E7A4A">
      <w:pPr>
        <w:tabs>
          <w:tab w:val="left" w:pos="1800"/>
          <w:tab w:val="right" w:pos="9072"/>
        </w:tabs>
        <w:ind w:left="1800" w:hanging="1800"/>
        <w:rPr>
          <w:rFonts w:ascii="Arial" w:eastAsia="宋体" w:hAnsi="Arial" w:cs="Arial"/>
          <w:b/>
          <w:sz w:val="22"/>
          <w:szCs w:val="24"/>
        </w:rPr>
      </w:pPr>
      <w:r>
        <w:rPr>
          <w:rFonts w:ascii="Arial" w:eastAsia="宋体" w:hAnsi="Arial" w:cs="Arial"/>
          <w:b/>
          <w:sz w:val="22"/>
          <w:szCs w:val="24"/>
        </w:rPr>
        <w:t>Source:</w:t>
      </w:r>
      <w:r>
        <w:rPr>
          <w:rFonts w:ascii="Arial" w:eastAsia="宋体" w:hAnsi="Arial" w:cs="Arial"/>
          <w:b/>
          <w:sz w:val="22"/>
          <w:szCs w:val="24"/>
        </w:rPr>
        <w:tab/>
      </w:r>
      <w:r>
        <w:rPr>
          <w:rFonts w:ascii="Arial" w:eastAsia="MS Mincho" w:hAnsi="Arial" w:cs="Arial"/>
          <w:b/>
          <w:sz w:val="22"/>
          <w:lang w:eastAsia="en-US"/>
        </w:rPr>
        <w:t>vivo</w:t>
      </w:r>
    </w:p>
    <w:p w14:paraId="31B32CC8" w14:textId="22193569" w:rsidR="002E7A4A" w:rsidRDefault="002E7A4A" w:rsidP="002E7A4A">
      <w:pPr>
        <w:tabs>
          <w:tab w:val="left" w:pos="1800"/>
          <w:tab w:val="right" w:pos="9072"/>
        </w:tabs>
        <w:ind w:left="1798" w:hangingChars="814" w:hanging="1798"/>
        <w:rPr>
          <w:rFonts w:ascii="Arial" w:eastAsia="MS Mincho" w:hAnsi="Arial" w:cs="Arial"/>
          <w:b/>
          <w:sz w:val="22"/>
          <w:szCs w:val="22"/>
          <w:lang w:eastAsia="en-US"/>
        </w:rPr>
      </w:pPr>
      <w:r>
        <w:rPr>
          <w:rFonts w:ascii="Arial" w:eastAsia="宋体" w:hAnsi="Arial" w:cs="Arial"/>
          <w:b/>
          <w:sz w:val="22"/>
          <w:szCs w:val="24"/>
        </w:rPr>
        <w:t>Title:</w:t>
      </w:r>
      <w:r>
        <w:rPr>
          <w:rFonts w:ascii="Arial" w:eastAsia="宋体" w:hAnsi="Arial" w:cs="Arial"/>
          <w:b/>
          <w:sz w:val="22"/>
          <w:szCs w:val="24"/>
        </w:rPr>
        <w:tab/>
      </w:r>
      <w:bookmarkStart w:id="1" w:name="_Hlk117151090"/>
      <w:r w:rsidRPr="002E7A4A">
        <w:rPr>
          <w:rFonts w:ascii="Arial" w:eastAsia="宋体" w:hAnsi="Arial" w:cs="Arial"/>
          <w:b/>
          <w:sz w:val="22"/>
          <w:szCs w:val="24"/>
        </w:rPr>
        <w:t xml:space="preserve">Discussion on early TA acquisition </w:t>
      </w:r>
    </w:p>
    <w:bookmarkEnd w:id="1"/>
    <w:p w14:paraId="41C9C235" w14:textId="77777777" w:rsidR="002E7A4A" w:rsidRDefault="002E7A4A" w:rsidP="002E7A4A">
      <w:pPr>
        <w:tabs>
          <w:tab w:val="left" w:pos="1800"/>
          <w:tab w:val="right" w:pos="9072"/>
        </w:tabs>
        <w:ind w:left="1798" w:hangingChars="814" w:hanging="1798"/>
        <w:rPr>
          <w:rFonts w:ascii="Arial" w:eastAsia="宋体" w:hAnsi="Arial" w:cs="Arial"/>
          <w:b/>
          <w:sz w:val="22"/>
          <w:szCs w:val="24"/>
        </w:rPr>
      </w:pPr>
      <w:r>
        <w:rPr>
          <w:rFonts w:ascii="Arial" w:eastAsia="宋体" w:hAnsi="Arial" w:cs="Arial"/>
          <w:b/>
          <w:sz w:val="22"/>
          <w:szCs w:val="24"/>
        </w:rPr>
        <w:t>Agenda Item:</w:t>
      </w:r>
      <w:r>
        <w:rPr>
          <w:rFonts w:ascii="Arial" w:eastAsia="宋体" w:hAnsi="Arial" w:cs="Arial"/>
          <w:b/>
          <w:sz w:val="22"/>
          <w:szCs w:val="24"/>
        </w:rPr>
        <w:tab/>
        <w:t>7.4.2.2</w:t>
      </w:r>
    </w:p>
    <w:p w14:paraId="4B0BD336" w14:textId="22683503" w:rsidR="002E7A4A" w:rsidRDefault="002E7A4A" w:rsidP="002E7A4A">
      <w:pPr>
        <w:tabs>
          <w:tab w:val="left" w:pos="1800"/>
          <w:tab w:val="center" w:pos="4536"/>
          <w:tab w:val="right" w:pos="9072"/>
        </w:tabs>
        <w:rPr>
          <w:rFonts w:ascii="Arial" w:eastAsia="宋体" w:hAnsi="Arial" w:cs="Arial"/>
          <w:b/>
          <w:sz w:val="22"/>
          <w:szCs w:val="24"/>
        </w:rPr>
      </w:pPr>
      <w:r>
        <w:rPr>
          <w:rFonts w:ascii="Arial" w:eastAsia="宋体" w:hAnsi="Arial" w:cs="Arial"/>
          <w:b/>
          <w:sz w:val="22"/>
          <w:szCs w:val="24"/>
        </w:rPr>
        <w:t>Document for:</w:t>
      </w:r>
      <w:r>
        <w:rPr>
          <w:rFonts w:ascii="Arial" w:eastAsia="宋体" w:hAnsi="Arial" w:cs="Arial"/>
          <w:b/>
          <w:sz w:val="22"/>
          <w:szCs w:val="24"/>
        </w:rPr>
        <w:tab/>
        <w:t>Discussion and Decision</w:t>
      </w:r>
    </w:p>
    <w:p w14:paraId="65B97E67" w14:textId="77777777" w:rsidR="00C7234D" w:rsidRDefault="009279BF" w:rsidP="002E7A4A">
      <w:pPr>
        <w:widowControl w:val="0"/>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Pr>
          <w:rFonts w:ascii="Arial" w:eastAsia="宋体" w:hAnsi="Arial" w:cs="Arial"/>
          <w:sz w:val="36"/>
          <w:lang w:eastAsia="en-GB"/>
        </w:rPr>
        <w:t>Introduction</w:t>
      </w:r>
    </w:p>
    <w:p w14:paraId="2B4E73EC" w14:textId="3160522E" w:rsidR="00F670C6" w:rsidRPr="00F670C6" w:rsidRDefault="00EE40AE" w:rsidP="00F670C6">
      <w:pPr>
        <w:spacing w:before="120" w:after="120"/>
        <w:jc w:val="both"/>
        <w:rPr>
          <w:rFonts w:ascii="Times New Roman" w:eastAsiaTheme="minorEastAsia" w:hAnsi="Times New Roman"/>
          <w:szCs w:val="24"/>
        </w:rPr>
      </w:pPr>
      <w:bookmarkStart w:id="2" w:name="_Hlk118141910"/>
      <w:r>
        <w:rPr>
          <w:rFonts w:ascii="Times New Roman" w:eastAsia="Times New Roman" w:hAnsi="Times New Roman"/>
          <w:szCs w:val="24"/>
        </w:rPr>
        <w:t xml:space="preserve">In </w:t>
      </w:r>
      <w:r w:rsidR="001A3ED0">
        <w:rPr>
          <w:rFonts w:ascii="Times New Roman" w:eastAsia="Times New Roman" w:hAnsi="Times New Roman"/>
          <w:szCs w:val="24"/>
        </w:rPr>
        <w:t>RAN2#123 meeting</w:t>
      </w:r>
      <w:r w:rsidR="0042509E">
        <w:rPr>
          <w:rFonts w:ascii="Times New Roman" w:eastAsia="Times New Roman" w:hAnsi="Times New Roman"/>
          <w:szCs w:val="24"/>
        </w:rPr>
        <w:t>[1]</w:t>
      </w:r>
      <w:r>
        <w:rPr>
          <w:rFonts w:ascii="Times New Roman" w:eastAsia="Times New Roman" w:hAnsi="Times New Roman"/>
          <w:szCs w:val="24"/>
        </w:rPr>
        <w:t xml:space="preserve">, </w:t>
      </w:r>
      <w:r w:rsidR="0042509E">
        <w:rPr>
          <w:rFonts w:ascii="Times New Roman" w:eastAsia="Times New Roman" w:hAnsi="Times New Roman"/>
          <w:szCs w:val="24"/>
        </w:rPr>
        <w:t>we have discussed the early TA acquisition and RACH-less issue in [2] and reached the following agreements on early TA acquisition: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F670C6" w:rsidRPr="003672C4" w14:paraId="0E7DB780" w14:textId="77777777" w:rsidTr="00531E33">
        <w:tc>
          <w:tcPr>
            <w:tcW w:w="9286" w:type="dxa"/>
            <w:shd w:val="clear" w:color="auto" w:fill="auto"/>
          </w:tcPr>
          <w:p w14:paraId="222272F6" w14:textId="77777777" w:rsidR="0042509E" w:rsidRPr="0042509E" w:rsidRDefault="0042509E" w:rsidP="0042509E">
            <w:pPr>
              <w:pStyle w:val="Agreement"/>
              <w:numPr>
                <w:ilvl w:val="0"/>
                <w:numId w:val="1"/>
              </w:numPr>
              <w:tabs>
                <w:tab w:val="clear" w:pos="612"/>
                <w:tab w:val="num" w:pos="1619"/>
              </w:tabs>
              <w:ind w:left="414" w:hanging="357"/>
              <w:rPr>
                <w:rFonts w:ascii="Times New Roman" w:hAnsi="Times New Roman"/>
              </w:rPr>
            </w:pPr>
            <w:bookmarkStart w:id="3" w:name="_Hlk117090237"/>
            <w:r w:rsidRPr="0042509E">
              <w:rPr>
                <w:rFonts w:ascii="Times New Roman" w:hAnsi="Times New Roman"/>
              </w:rPr>
              <w:t>All the RRC configurations related to early RACH are specific per LTM candidate cell and signalled separately from the candidate cell configuration (i.e. LTM Candidate configuration).</w:t>
            </w:r>
          </w:p>
          <w:p w14:paraId="1EA113DF" w14:textId="77777777" w:rsidR="0042509E" w:rsidRPr="0042509E" w:rsidRDefault="0042509E" w:rsidP="0042509E">
            <w:pPr>
              <w:pStyle w:val="Agreement"/>
              <w:numPr>
                <w:ilvl w:val="0"/>
                <w:numId w:val="1"/>
              </w:numPr>
              <w:tabs>
                <w:tab w:val="clear" w:pos="612"/>
                <w:tab w:val="num" w:pos="1619"/>
              </w:tabs>
              <w:ind w:left="414" w:hanging="357"/>
              <w:rPr>
                <w:rFonts w:ascii="Times New Roman" w:hAnsi="Times New Roman"/>
              </w:rPr>
            </w:pPr>
            <w:r w:rsidRPr="0042509E">
              <w:rPr>
                <w:rFonts w:ascii="Times New Roman" w:hAnsi="Times New Roman"/>
              </w:rPr>
              <w:t>The early RACH procedure share a same MAC entity with the legacy RACH procedure. (e.g. no extra MAC entity is needed for early RACH)</w:t>
            </w:r>
          </w:p>
          <w:p w14:paraId="60E3858B" w14:textId="55204C33" w:rsidR="0042509E" w:rsidRPr="0042509E" w:rsidRDefault="0042509E" w:rsidP="0042509E">
            <w:pPr>
              <w:pStyle w:val="Agreement"/>
              <w:numPr>
                <w:ilvl w:val="0"/>
                <w:numId w:val="1"/>
              </w:numPr>
              <w:tabs>
                <w:tab w:val="clear" w:pos="612"/>
                <w:tab w:val="num" w:pos="1619"/>
              </w:tabs>
              <w:ind w:left="414" w:hanging="357"/>
              <w:rPr>
                <w:rFonts w:ascii="Times New Roman" w:hAnsi="Times New Roman"/>
              </w:rPr>
            </w:pPr>
            <w:r w:rsidRPr="0042509E">
              <w:rPr>
                <w:rFonts w:ascii="Times New Roman" w:hAnsi="Times New Roman"/>
              </w:rPr>
              <w:t>It is up to UE implementation to handle the RACH initiation collisions where the early RACH is getting involved. No specification change can be foreseen.</w:t>
            </w:r>
          </w:p>
          <w:p w14:paraId="0399A5DA" w14:textId="77777777" w:rsidR="0042509E" w:rsidRPr="0042509E" w:rsidRDefault="0042509E" w:rsidP="0042509E">
            <w:pPr>
              <w:pStyle w:val="Agreement"/>
              <w:numPr>
                <w:ilvl w:val="0"/>
                <w:numId w:val="1"/>
              </w:numPr>
              <w:tabs>
                <w:tab w:val="clear" w:pos="612"/>
                <w:tab w:val="num" w:pos="1619"/>
              </w:tabs>
              <w:ind w:left="414" w:hanging="357"/>
              <w:rPr>
                <w:rFonts w:ascii="Times New Roman" w:hAnsi="Times New Roman"/>
              </w:rPr>
            </w:pPr>
            <w:r w:rsidRPr="0042509E">
              <w:rPr>
                <w:rFonts w:ascii="Times New Roman" w:hAnsi="Times New Roman"/>
              </w:rPr>
              <w:t>R2 assumes For counting the power ramping step for early RACH, Reuse PREAMBLE_POWER_RAMPING_COUNTER</w:t>
            </w:r>
          </w:p>
          <w:p w14:paraId="4F887BF6" w14:textId="77777777" w:rsidR="0042509E" w:rsidRPr="0042509E" w:rsidRDefault="0042509E" w:rsidP="0042509E">
            <w:pPr>
              <w:pStyle w:val="Agreement"/>
              <w:numPr>
                <w:ilvl w:val="0"/>
                <w:numId w:val="1"/>
              </w:numPr>
              <w:tabs>
                <w:tab w:val="clear" w:pos="612"/>
                <w:tab w:val="num" w:pos="1619"/>
              </w:tabs>
              <w:ind w:left="414" w:hanging="357"/>
              <w:rPr>
                <w:rFonts w:ascii="Times New Roman" w:hAnsi="Times New Roman"/>
              </w:rPr>
            </w:pPr>
            <w:r w:rsidRPr="0042509E">
              <w:rPr>
                <w:rFonts w:ascii="Times New Roman" w:hAnsi="Times New Roman"/>
              </w:rPr>
              <w:t xml:space="preserve">FFS if UE transmits the preamble without the power ramping upon reception of PDCCH order with retransmission indication if preamble transmission encounter the LBT failure. </w:t>
            </w:r>
          </w:p>
          <w:p w14:paraId="42087B09" w14:textId="77777777" w:rsidR="0042509E" w:rsidRPr="0042509E" w:rsidRDefault="0042509E" w:rsidP="0042509E">
            <w:pPr>
              <w:pStyle w:val="Agreement"/>
              <w:numPr>
                <w:ilvl w:val="0"/>
                <w:numId w:val="1"/>
              </w:numPr>
              <w:tabs>
                <w:tab w:val="clear" w:pos="612"/>
                <w:tab w:val="num" w:pos="1619"/>
              </w:tabs>
              <w:ind w:left="414" w:hanging="357"/>
              <w:rPr>
                <w:rFonts w:ascii="Times New Roman" w:hAnsi="Times New Roman"/>
              </w:rPr>
            </w:pPr>
            <w:r w:rsidRPr="0042509E">
              <w:rPr>
                <w:rFonts w:ascii="Times New Roman" w:hAnsi="Times New Roman"/>
              </w:rPr>
              <w:t>P8: Confirm that the RACH procedure toward a candidate cell is considered as complete once the preamble transmission is instructed to the lower layer.</w:t>
            </w:r>
          </w:p>
          <w:p w14:paraId="71EF903F" w14:textId="3C1ADD7C" w:rsidR="00F670C6" w:rsidRPr="0042509E" w:rsidRDefault="00F670C6" w:rsidP="0042509E">
            <w:pPr>
              <w:pStyle w:val="Agreement"/>
              <w:tabs>
                <w:tab w:val="clear" w:pos="612"/>
                <w:tab w:val="clear" w:pos="1619"/>
              </w:tabs>
            </w:pPr>
          </w:p>
        </w:tc>
      </w:tr>
    </w:tbl>
    <w:bookmarkEnd w:id="3"/>
    <w:p w14:paraId="4B8A3D79" w14:textId="2EC4BFBC" w:rsidR="009141C2" w:rsidRPr="00F670C6" w:rsidRDefault="00F670C6">
      <w:pPr>
        <w:spacing w:before="120" w:after="120"/>
        <w:jc w:val="both"/>
        <w:rPr>
          <w:rFonts w:ascii="Times New Roman" w:eastAsiaTheme="minorEastAsia" w:hAnsi="Times New Roman"/>
          <w:szCs w:val="24"/>
          <w:lang w:val="en-GB"/>
        </w:rPr>
      </w:pPr>
      <w:r w:rsidRPr="003672C4">
        <w:rPr>
          <w:rFonts w:ascii="Times New Roman" w:eastAsia="Times New Roman" w:hAnsi="Times New Roman"/>
          <w:szCs w:val="24"/>
        </w:rPr>
        <w:t xml:space="preserve">In this paper, we </w:t>
      </w:r>
      <w:r w:rsidR="0019178C">
        <w:rPr>
          <w:rFonts w:ascii="Times New Roman" w:eastAsia="Times New Roman" w:hAnsi="Times New Roman"/>
          <w:szCs w:val="24"/>
        </w:rPr>
        <w:t xml:space="preserve">will </w:t>
      </w:r>
      <w:r>
        <w:rPr>
          <w:rFonts w:ascii="Times New Roman" w:eastAsia="Times New Roman" w:hAnsi="Times New Roman"/>
          <w:szCs w:val="24"/>
        </w:rPr>
        <w:t>continue</w:t>
      </w:r>
      <w:r w:rsidR="007E298D">
        <w:rPr>
          <w:rFonts w:ascii="Times New Roman" w:eastAsia="Times New Roman" w:hAnsi="Times New Roman"/>
          <w:szCs w:val="24"/>
        </w:rPr>
        <w:t xml:space="preserve"> </w:t>
      </w:r>
      <w:r w:rsidR="0019178C">
        <w:rPr>
          <w:rFonts w:ascii="Times New Roman" w:eastAsia="Times New Roman" w:hAnsi="Times New Roman"/>
          <w:szCs w:val="24"/>
        </w:rPr>
        <w:t>our</w:t>
      </w:r>
      <w:r w:rsidR="007E298D">
        <w:rPr>
          <w:rFonts w:ascii="Times New Roman" w:eastAsia="Times New Roman" w:hAnsi="Times New Roman"/>
          <w:szCs w:val="24"/>
        </w:rPr>
        <w:t xml:space="preserve"> discussion for the remaining issues</w:t>
      </w:r>
      <w:r w:rsidR="0042509E">
        <w:rPr>
          <w:rFonts w:ascii="Times New Roman" w:eastAsia="Times New Roman" w:hAnsi="Times New Roman"/>
          <w:szCs w:val="24"/>
        </w:rPr>
        <w:t xml:space="preserve"> on early TA acquisition procedure</w:t>
      </w:r>
      <w:r w:rsidR="0085409A">
        <w:rPr>
          <w:rFonts w:ascii="Times New Roman" w:eastAsia="Times New Roman" w:hAnsi="Times New Roman"/>
          <w:szCs w:val="24"/>
        </w:rPr>
        <w:t>.</w:t>
      </w:r>
    </w:p>
    <w:bookmarkEnd w:id="2"/>
    <w:p w14:paraId="38617D3F" w14:textId="77777777" w:rsidR="00C7234D" w:rsidRDefault="009279BF" w:rsidP="002E7A4A">
      <w:pPr>
        <w:widowControl w:val="0"/>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14614D12" w14:textId="02DA53A8" w:rsidR="0042509E" w:rsidRPr="0042509E" w:rsidRDefault="0042509E" w:rsidP="0042509E">
      <w:pPr>
        <w:keepNext/>
        <w:widowControl w:val="0"/>
        <w:numPr>
          <w:ilvl w:val="1"/>
          <w:numId w:val="3"/>
        </w:numPr>
        <w:tabs>
          <w:tab w:val="num" w:pos="567"/>
        </w:tabs>
        <w:spacing w:before="180" w:after="180"/>
        <w:jc w:val="both"/>
        <w:outlineLvl w:val="1"/>
        <w:rPr>
          <w:rFonts w:ascii="Arial" w:eastAsia="MS Mincho" w:hAnsi="Arial" w:cs="Arial"/>
          <w:iCs/>
          <w:sz w:val="30"/>
          <w:szCs w:val="30"/>
        </w:rPr>
      </w:pPr>
      <w:bookmarkStart w:id="4" w:name="_Hlk117151813"/>
      <w:r w:rsidRPr="0042509E">
        <w:rPr>
          <w:rFonts w:ascii="Arial" w:eastAsia="MS Mincho" w:hAnsi="Arial" w:cs="Arial"/>
          <w:iCs/>
          <w:sz w:val="30"/>
          <w:szCs w:val="30"/>
        </w:rPr>
        <w:t>RACH collision for early TA acquisition</w:t>
      </w:r>
    </w:p>
    <w:p w14:paraId="575C5E0D" w14:textId="7420D051" w:rsidR="0042509E" w:rsidRDefault="009255C4" w:rsidP="009255C4">
      <w:pPr>
        <w:widowControl w:val="0"/>
        <w:spacing w:after="120"/>
        <w:jc w:val="both"/>
        <w:rPr>
          <w:rFonts w:ascii="Times New Roman" w:eastAsia="Times New Roman" w:hAnsi="Times New Roman"/>
          <w:lang w:eastAsia="en-US"/>
        </w:rPr>
      </w:pPr>
      <w:r>
        <w:rPr>
          <w:rFonts w:ascii="Times New Roman" w:eastAsia="Times New Roman" w:hAnsi="Times New Roman"/>
          <w:lang w:eastAsia="en-US"/>
        </w:rPr>
        <w:t>C</w:t>
      </w:r>
      <w:r w:rsidR="0042509E" w:rsidRPr="0042509E">
        <w:rPr>
          <w:rFonts w:ascii="Times New Roman" w:eastAsia="Times New Roman" w:hAnsi="Times New Roman"/>
          <w:lang w:eastAsia="en-US"/>
        </w:rPr>
        <w:t>urrent MAC</w:t>
      </w:r>
      <w:r>
        <w:rPr>
          <w:rFonts w:ascii="Times New Roman" w:eastAsia="Times New Roman" w:hAnsi="Times New Roman"/>
          <w:lang w:eastAsia="en-US"/>
        </w:rPr>
        <w:t xml:space="preserve"> running</w:t>
      </w:r>
      <w:r w:rsidR="0042509E" w:rsidRPr="0042509E">
        <w:rPr>
          <w:rFonts w:ascii="Times New Roman" w:eastAsia="Times New Roman" w:hAnsi="Times New Roman"/>
          <w:lang w:eastAsia="en-US"/>
        </w:rPr>
        <w:t xml:space="preserve"> CR</w:t>
      </w:r>
      <w:r>
        <w:rPr>
          <w:rFonts w:ascii="Times New Roman" w:eastAsia="Times New Roman" w:hAnsi="Times New Roman"/>
          <w:lang w:eastAsia="en-US"/>
        </w:rPr>
        <w:t xml:space="preserve"> for LTM</w:t>
      </w:r>
      <w:r w:rsidR="00C448A4">
        <w:rPr>
          <w:rFonts w:ascii="Times New Roman" w:eastAsia="Times New Roman" w:hAnsi="Times New Roman"/>
          <w:lang w:eastAsia="en-US"/>
        </w:rPr>
        <w:t xml:space="preserve"> </w:t>
      </w:r>
      <w:r w:rsidR="00EE0B10">
        <w:rPr>
          <w:rFonts w:ascii="Times New Roman" w:eastAsia="Times New Roman" w:hAnsi="Times New Roman"/>
          <w:lang w:eastAsia="en-US"/>
        </w:rPr>
        <w:t>[3]</w:t>
      </w:r>
      <w:r w:rsidR="0042509E" w:rsidRPr="0042509E">
        <w:rPr>
          <w:rFonts w:ascii="Times New Roman" w:eastAsia="Times New Roman" w:hAnsi="Times New Roman"/>
          <w:lang w:eastAsia="en-US"/>
        </w:rPr>
        <w:t xml:space="preserve"> specifie</w:t>
      </w:r>
      <w:r>
        <w:rPr>
          <w:rFonts w:ascii="Times New Roman" w:eastAsia="Times New Roman" w:hAnsi="Times New Roman"/>
          <w:lang w:eastAsia="en-US"/>
        </w:rPr>
        <w:t>s</w:t>
      </w:r>
      <w:r w:rsidR="0042509E" w:rsidRPr="0042509E">
        <w:rPr>
          <w:rFonts w:ascii="Times New Roman" w:eastAsia="Times New Roman" w:hAnsi="Times New Roman"/>
          <w:lang w:eastAsia="en-US"/>
        </w:rPr>
        <w:t xml:space="preserve"> </w:t>
      </w:r>
      <w:r w:rsidR="00456248">
        <w:rPr>
          <w:rFonts w:ascii="Times New Roman" w:eastAsia="Times New Roman" w:hAnsi="Times New Roman"/>
          <w:lang w:eastAsia="en-US"/>
        </w:rPr>
        <w:t xml:space="preserve">3 </w:t>
      </w:r>
      <w:r w:rsidR="00456248" w:rsidRPr="0042509E">
        <w:rPr>
          <w:rFonts w:ascii="Times New Roman" w:eastAsia="Times New Roman" w:hAnsi="Times New Roman"/>
          <w:lang w:eastAsia="en-US"/>
        </w:rPr>
        <w:t>scenarios</w:t>
      </w:r>
      <w:r w:rsidR="00456248">
        <w:rPr>
          <w:rFonts w:ascii="Times New Roman" w:eastAsia="Times New Roman" w:hAnsi="Times New Roman"/>
          <w:lang w:eastAsia="en-US"/>
        </w:rPr>
        <w:t xml:space="preserve"> </w:t>
      </w:r>
      <w:r w:rsidR="00456248" w:rsidRPr="00101705">
        <w:rPr>
          <w:rFonts w:ascii="Times New Roman" w:eastAsia="Times New Roman" w:hAnsi="Times New Roman"/>
          <w:lang w:eastAsia="en-US"/>
        </w:rPr>
        <w:t>to</w:t>
      </w:r>
      <w:r w:rsidR="0042509E" w:rsidRPr="0042509E">
        <w:rPr>
          <w:rFonts w:ascii="Times New Roman" w:eastAsia="Times New Roman" w:hAnsi="Times New Roman"/>
          <w:lang w:eastAsia="en-US"/>
        </w:rPr>
        <w:t xml:space="preserve"> set the power ramping counter </w:t>
      </w:r>
      <w:r w:rsidR="0031061B">
        <w:rPr>
          <w:rFonts w:ascii="Times New Roman" w:eastAsia="Times New Roman" w:hAnsi="Times New Roman"/>
          <w:lang w:eastAsia="en-US"/>
        </w:rPr>
        <w:t>to 1 as following</w:t>
      </w:r>
      <w:r w:rsidR="0042509E" w:rsidRPr="0042509E">
        <w:rPr>
          <w:rFonts w:ascii="Times New Roman" w:eastAsia="Times New Roman" w:hAnsi="Times New Roman"/>
          <w:lang w:eastAsia="en-US"/>
        </w:rPr>
        <w:t>:</w:t>
      </w:r>
    </w:p>
    <w:tbl>
      <w:tblPr>
        <w:tblStyle w:val="af1"/>
        <w:tblW w:w="9209" w:type="dxa"/>
        <w:tblLook w:val="04A0" w:firstRow="1" w:lastRow="0" w:firstColumn="1" w:lastColumn="0" w:noHBand="0" w:noVBand="1"/>
      </w:tblPr>
      <w:tblGrid>
        <w:gridCol w:w="9209"/>
      </w:tblGrid>
      <w:tr w:rsidR="0031061B" w14:paraId="626B99CE" w14:textId="77777777" w:rsidTr="00101705">
        <w:tc>
          <w:tcPr>
            <w:tcW w:w="9209" w:type="dxa"/>
          </w:tcPr>
          <w:p w14:paraId="767ECA18" w14:textId="77777777" w:rsidR="0031061B" w:rsidRPr="00101705" w:rsidRDefault="0031061B" w:rsidP="002E7A4A">
            <w:pPr>
              <w:pStyle w:val="B1"/>
              <w:spacing w:before="0" w:beforeAutospacing="0" w:after="120" w:line="257" w:lineRule="auto"/>
              <w:ind w:left="567"/>
              <w:rPr>
                <w:sz w:val="20"/>
                <w:szCs w:val="20"/>
                <w:lang w:eastAsia="ko-KR"/>
              </w:rPr>
            </w:pPr>
            <w:r w:rsidRPr="00101705">
              <w:rPr>
                <w:sz w:val="20"/>
                <w:szCs w:val="20"/>
                <w:lang w:eastAsia="ko-KR"/>
              </w:rPr>
              <w:t>1&gt;</w:t>
            </w:r>
            <w:r w:rsidRPr="00101705">
              <w:rPr>
                <w:sz w:val="20"/>
                <w:szCs w:val="20"/>
                <w:lang w:eastAsia="ko-KR"/>
              </w:rPr>
              <w:tab/>
              <w:t xml:space="preserve">if the </w:t>
            </w:r>
            <w:proofErr w:type="gramStart"/>
            <w:r w:rsidRPr="00101705">
              <w:rPr>
                <w:sz w:val="20"/>
                <w:szCs w:val="20"/>
                <w:lang w:eastAsia="ko-KR"/>
              </w:rPr>
              <w:t>Random Access</w:t>
            </w:r>
            <w:proofErr w:type="gramEnd"/>
            <w:r w:rsidRPr="00101705">
              <w:rPr>
                <w:sz w:val="20"/>
                <w:szCs w:val="20"/>
                <w:lang w:eastAsia="ko-KR"/>
              </w:rPr>
              <w:t xml:space="preserve"> procedure is initiated on a Serving Cell; or</w:t>
            </w:r>
          </w:p>
          <w:p w14:paraId="791C03E9" w14:textId="77777777" w:rsidR="0031061B" w:rsidRPr="00101705" w:rsidRDefault="0031061B" w:rsidP="002E7A4A">
            <w:pPr>
              <w:pStyle w:val="B1"/>
              <w:spacing w:before="0" w:beforeAutospacing="0" w:after="120" w:line="257" w:lineRule="auto"/>
              <w:ind w:left="567"/>
              <w:rPr>
                <w:sz w:val="20"/>
                <w:szCs w:val="20"/>
                <w:lang w:eastAsia="ko-KR"/>
              </w:rPr>
            </w:pPr>
            <w:r w:rsidRPr="00101705">
              <w:rPr>
                <w:sz w:val="20"/>
                <w:szCs w:val="20"/>
                <w:lang w:eastAsia="ko-KR"/>
              </w:rPr>
              <w:t>1&gt;</w:t>
            </w:r>
            <w:r w:rsidRPr="00101705">
              <w:rPr>
                <w:sz w:val="20"/>
                <w:szCs w:val="20"/>
                <w:lang w:eastAsia="ko-KR"/>
              </w:rPr>
              <w:tab/>
              <w:t xml:space="preserve">if the </w:t>
            </w:r>
            <w:proofErr w:type="gramStart"/>
            <w:r w:rsidRPr="00101705">
              <w:rPr>
                <w:sz w:val="20"/>
                <w:szCs w:val="20"/>
                <w:lang w:eastAsia="ko-KR"/>
              </w:rPr>
              <w:t>Random Access</w:t>
            </w:r>
            <w:proofErr w:type="gramEnd"/>
            <w:r w:rsidRPr="00101705">
              <w:rPr>
                <w:sz w:val="20"/>
                <w:szCs w:val="20"/>
                <w:lang w:eastAsia="ko-KR"/>
              </w:rPr>
              <w:t xml:space="preserve"> procedure is initiated by the PDCCH order to an LTM candidate cell and the PDCCH order indicates preamble initial transmission; or</w:t>
            </w:r>
          </w:p>
          <w:p w14:paraId="42CEF1F6" w14:textId="77777777" w:rsidR="0031061B" w:rsidRPr="00101705" w:rsidRDefault="0031061B" w:rsidP="002E7A4A">
            <w:pPr>
              <w:pStyle w:val="B1"/>
              <w:spacing w:before="0" w:beforeAutospacing="0" w:after="120" w:line="257" w:lineRule="auto"/>
              <w:ind w:left="567"/>
              <w:rPr>
                <w:sz w:val="20"/>
                <w:szCs w:val="20"/>
                <w:lang w:eastAsia="ko-KR"/>
              </w:rPr>
            </w:pPr>
            <w:r w:rsidRPr="00101705">
              <w:rPr>
                <w:sz w:val="20"/>
                <w:szCs w:val="20"/>
                <w:lang w:eastAsia="ko-KR"/>
              </w:rPr>
              <w:t>1&gt;</w:t>
            </w:r>
            <w:r w:rsidRPr="00101705">
              <w:rPr>
                <w:sz w:val="20"/>
                <w:szCs w:val="20"/>
                <w:lang w:eastAsia="ko-KR"/>
              </w:rPr>
              <w:tab/>
              <w:t xml:space="preserve">if the </w:t>
            </w:r>
            <w:proofErr w:type="gramStart"/>
            <w:r w:rsidRPr="00101705">
              <w:rPr>
                <w:sz w:val="20"/>
                <w:szCs w:val="20"/>
                <w:lang w:eastAsia="ko-KR"/>
              </w:rPr>
              <w:t>Random Access</w:t>
            </w:r>
            <w:proofErr w:type="gramEnd"/>
            <w:r w:rsidRPr="00101705">
              <w:rPr>
                <w:sz w:val="20"/>
                <w:szCs w:val="20"/>
                <w:lang w:eastAsia="ko-KR"/>
              </w:rPr>
              <w:t xml:space="preserve"> procedure is initiated by the PDCCH order to an LTM candidate cell, which is different from the one to perform the last Random Access Preamble transmission initiated by the PDCCH order to an LTM candidate cell, and the PDCCH order indicates preamble re-transmission:</w:t>
            </w:r>
          </w:p>
          <w:p w14:paraId="47354A2E" w14:textId="28CB761B" w:rsidR="0031061B" w:rsidRDefault="0031061B" w:rsidP="002E7A4A">
            <w:pPr>
              <w:pStyle w:val="B1"/>
              <w:spacing w:before="0" w:beforeAutospacing="0" w:after="120" w:line="257" w:lineRule="auto"/>
              <w:ind w:left="567" w:firstLine="0"/>
              <w:rPr>
                <w:rFonts w:eastAsia="Times New Roman"/>
                <w:lang w:eastAsia="en-US"/>
              </w:rPr>
            </w:pPr>
            <w:r w:rsidRPr="00101705">
              <w:rPr>
                <w:sz w:val="20"/>
                <w:szCs w:val="20"/>
                <w:lang w:eastAsia="ko-KR"/>
              </w:rPr>
              <w:t>2&gt;</w:t>
            </w:r>
            <w:r w:rsidRPr="00101705">
              <w:rPr>
                <w:sz w:val="20"/>
                <w:szCs w:val="20"/>
                <w:lang w:eastAsia="ko-KR"/>
              </w:rPr>
              <w:tab/>
              <w:t xml:space="preserve">set the </w:t>
            </w:r>
            <w:r w:rsidRPr="00101705">
              <w:rPr>
                <w:i/>
                <w:sz w:val="20"/>
                <w:szCs w:val="20"/>
                <w:lang w:eastAsia="ko-KR"/>
              </w:rPr>
              <w:t>PREAMBLE_POWER_RAMPING_COUNTER</w:t>
            </w:r>
            <w:r w:rsidRPr="00101705">
              <w:rPr>
                <w:sz w:val="20"/>
                <w:szCs w:val="20"/>
                <w:lang w:eastAsia="ko-KR"/>
              </w:rPr>
              <w:t xml:space="preserve"> to 1;</w:t>
            </w:r>
          </w:p>
        </w:tc>
      </w:tr>
    </w:tbl>
    <w:p w14:paraId="3D3AAEFF" w14:textId="2CC95BBF" w:rsidR="0031061B" w:rsidRDefault="0031061B" w:rsidP="009255C4">
      <w:pPr>
        <w:widowControl w:val="0"/>
        <w:spacing w:after="120"/>
        <w:jc w:val="both"/>
        <w:rPr>
          <w:rFonts w:ascii="Times New Roman" w:eastAsia="Times New Roman" w:hAnsi="Times New Roman"/>
          <w:lang w:eastAsia="en-US"/>
        </w:rPr>
      </w:pPr>
      <w:r w:rsidRPr="00101705">
        <w:rPr>
          <w:rFonts w:ascii="Times New Roman" w:eastAsia="Times New Roman" w:hAnsi="Times New Roman"/>
          <w:lang w:eastAsia="en-US"/>
        </w:rPr>
        <w:t>In our understanding,</w:t>
      </w:r>
      <w:r>
        <w:rPr>
          <w:rFonts w:ascii="Times New Roman" w:eastAsia="Times New Roman" w:hAnsi="Times New Roman"/>
          <w:lang w:eastAsia="en-US"/>
        </w:rPr>
        <w:t xml:space="preserve"> one more </w:t>
      </w:r>
      <w:r w:rsidRPr="0042509E">
        <w:rPr>
          <w:rFonts w:ascii="Times New Roman" w:eastAsia="Times New Roman" w:hAnsi="Times New Roman"/>
          <w:lang w:eastAsia="en-US"/>
        </w:rPr>
        <w:t>scenario</w:t>
      </w:r>
      <w:r>
        <w:rPr>
          <w:rFonts w:ascii="Times New Roman" w:eastAsia="Times New Roman" w:hAnsi="Times New Roman"/>
          <w:lang w:eastAsia="en-US"/>
        </w:rPr>
        <w:t xml:space="preserve"> where UE should also </w:t>
      </w:r>
      <w:r w:rsidRPr="0042509E">
        <w:rPr>
          <w:rFonts w:ascii="Times New Roman" w:eastAsia="Times New Roman" w:hAnsi="Times New Roman"/>
          <w:lang w:eastAsia="en-US"/>
        </w:rPr>
        <w:t xml:space="preserve">set the power ramping counter </w:t>
      </w:r>
      <w:r>
        <w:rPr>
          <w:rFonts w:ascii="Times New Roman" w:eastAsia="Times New Roman" w:hAnsi="Times New Roman"/>
          <w:lang w:eastAsia="en-US"/>
        </w:rPr>
        <w:t xml:space="preserve">to 1 </w:t>
      </w:r>
      <w:r w:rsidR="00E7511F">
        <w:rPr>
          <w:rFonts w:ascii="Times New Roman" w:eastAsia="Times New Roman" w:hAnsi="Times New Roman"/>
          <w:lang w:eastAsia="en-US"/>
        </w:rPr>
        <w:t>needs to be captured</w:t>
      </w:r>
      <w:r>
        <w:rPr>
          <w:rFonts w:ascii="Times New Roman" w:eastAsia="Times New Roman" w:hAnsi="Times New Roman"/>
          <w:lang w:eastAsia="en-US"/>
        </w:rPr>
        <w:t xml:space="preserve">. We try to explain the </w:t>
      </w:r>
      <w:r w:rsidRPr="0042509E">
        <w:rPr>
          <w:rFonts w:ascii="Times New Roman" w:eastAsia="Times New Roman" w:hAnsi="Times New Roman"/>
          <w:lang w:eastAsia="en-US"/>
        </w:rPr>
        <w:t>scenario</w:t>
      </w:r>
      <w:r>
        <w:rPr>
          <w:rFonts w:ascii="Times New Roman" w:eastAsia="Times New Roman" w:hAnsi="Times New Roman"/>
          <w:lang w:eastAsia="en-US"/>
        </w:rPr>
        <w:t xml:space="preserve"> with the following figure.</w:t>
      </w:r>
    </w:p>
    <w:p w14:paraId="199526BB" w14:textId="0804D37E" w:rsidR="0031061B" w:rsidRPr="0042509E" w:rsidRDefault="00E7511F" w:rsidP="0031061B">
      <w:pPr>
        <w:spacing w:after="120"/>
        <w:jc w:val="center"/>
        <w:rPr>
          <w:rFonts w:ascii="Times New Roman" w:eastAsia="Times New Roman" w:hAnsi="Times New Roman"/>
          <w:lang w:eastAsia="en-US"/>
        </w:rPr>
      </w:pPr>
      <w:r w:rsidRPr="0042509E">
        <w:rPr>
          <w:rFonts w:ascii="Times New Roman" w:eastAsia="Times New Roman" w:hAnsi="Times New Roman"/>
          <w:szCs w:val="24"/>
          <w:lang w:eastAsia="en-US"/>
        </w:rPr>
        <w:object w:dxaOrig="10790" w:dyaOrig="2570" w14:anchorId="2B593D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115.8pt" o:ole="">
            <v:imagedata r:id="rId12" o:title=""/>
          </v:shape>
          <o:OLEObject Type="Embed" ProgID="Visio.Drawing.15" ShapeID="_x0000_i1025" DrawAspect="Content" ObjectID="_1760531632" r:id="rId13"/>
        </w:object>
      </w:r>
    </w:p>
    <w:p w14:paraId="09FBA203" w14:textId="77777777" w:rsidR="0031061B" w:rsidRPr="0042509E" w:rsidRDefault="0031061B" w:rsidP="0031061B">
      <w:pPr>
        <w:spacing w:after="120"/>
        <w:jc w:val="center"/>
        <w:rPr>
          <w:rFonts w:ascii="Times New Roman" w:eastAsia="Times New Roman" w:hAnsi="Times New Roman"/>
          <w:b/>
          <w:bCs/>
          <w:lang w:eastAsia="en-US"/>
        </w:rPr>
      </w:pPr>
      <w:r w:rsidRPr="0042509E">
        <w:rPr>
          <w:rFonts w:ascii="Times New Roman" w:eastAsia="Times New Roman" w:hAnsi="Times New Roman"/>
          <w:b/>
          <w:bCs/>
          <w:lang w:eastAsia="en-US"/>
        </w:rPr>
        <w:t xml:space="preserve">Figure 1: </w:t>
      </w:r>
      <w:r>
        <w:rPr>
          <w:rFonts w:ascii="Times New Roman" w:eastAsia="Times New Roman" w:hAnsi="Times New Roman"/>
          <w:b/>
          <w:bCs/>
          <w:lang w:eastAsia="en-US"/>
        </w:rPr>
        <w:t xml:space="preserve">Example that </w:t>
      </w:r>
      <w:r w:rsidRPr="0042509E">
        <w:rPr>
          <w:rFonts w:ascii="Times New Roman" w:eastAsia="Times New Roman" w:hAnsi="Times New Roman"/>
          <w:b/>
          <w:bCs/>
          <w:lang w:eastAsia="en-US"/>
        </w:rPr>
        <w:t>early RACH collides with</w:t>
      </w:r>
      <w:r>
        <w:rPr>
          <w:rFonts w:ascii="Times New Roman" w:eastAsia="Times New Roman" w:hAnsi="Times New Roman"/>
          <w:b/>
          <w:bCs/>
          <w:lang w:eastAsia="en-US"/>
        </w:rPr>
        <w:t xml:space="preserve"> legacy RACH</w:t>
      </w:r>
    </w:p>
    <w:p w14:paraId="126EBAAE" w14:textId="0CD0D57E" w:rsidR="00E7511F" w:rsidRDefault="001837C3" w:rsidP="0031061B">
      <w:pPr>
        <w:widowControl w:val="0"/>
        <w:spacing w:after="120"/>
        <w:jc w:val="both"/>
        <w:rPr>
          <w:rFonts w:ascii="Times New Roman" w:eastAsia="等线" w:hAnsi="Times New Roman"/>
          <w:kern w:val="2"/>
        </w:rPr>
      </w:pPr>
      <w:r>
        <w:rPr>
          <w:rFonts w:ascii="Times New Roman" w:eastAsia="等线" w:hAnsi="Times New Roman"/>
          <w:kern w:val="2"/>
        </w:rPr>
        <w:t>In</w:t>
      </w:r>
      <w:r w:rsidR="0031061B" w:rsidRPr="0042509E">
        <w:rPr>
          <w:rFonts w:ascii="Times New Roman" w:eastAsia="等线" w:hAnsi="Times New Roman"/>
          <w:kern w:val="2"/>
        </w:rPr>
        <w:t xml:space="preserve"> </w:t>
      </w:r>
      <w:r w:rsidR="0031061B">
        <w:rPr>
          <w:rFonts w:ascii="Times New Roman" w:eastAsia="等线" w:hAnsi="Times New Roman"/>
          <w:kern w:val="2"/>
        </w:rPr>
        <w:t xml:space="preserve">the </w:t>
      </w:r>
      <w:r w:rsidR="0031061B" w:rsidRPr="0042509E">
        <w:rPr>
          <w:rFonts w:ascii="Times New Roman" w:eastAsia="等线" w:hAnsi="Times New Roman"/>
          <w:kern w:val="2"/>
        </w:rPr>
        <w:t xml:space="preserve">figure: </w:t>
      </w:r>
    </w:p>
    <w:p w14:paraId="4A6A122F" w14:textId="429AFF51" w:rsidR="00E7511F" w:rsidRDefault="00E7511F" w:rsidP="0031061B">
      <w:pPr>
        <w:widowControl w:val="0"/>
        <w:spacing w:after="120"/>
        <w:jc w:val="both"/>
        <w:rPr>
          <w:lang w:eastAsia="ko-KR"/>
        </w:rPr>
      </w:pPr>
      <w:r>
        <w:rPr>
          <w:rFonts w:ascii="Times New Roman" w:eastAsia="等线" w:hAnsi="Times New Roman"/>
          <w:kern w:val="2"/>
        </w:rPr>
        <w:t xml:space="preserve">Step 1: </w:t>
      </w:r>
      <w:r w:rsidR="0031061B" w:rsidRPr="0042509E">
        <w:rPr>
          <w:rFonts w:ascii="Times New Roman" w:eastAsia="等线" w:hAnsi="Times New Roman"/>
          <w:kern w:val="2"/>
        </w:rPr>
        <w:t>UE</w:t>
      </w:r>
      <w:r>
        <w:rPr>
          <w:rFonts w:ascii="Times New Roman" w:eastAsia="等线" w:hAnsi="Times New Roman"/>
          <w:kern w:val="2"/>
        </w:rPr>
        <w:t xml:space="preserve"> receives a PDCCH order for early TA acquisition </w:t>
      </w:r>
      <w:r>
        <w:rPr>
          <w:lang w:eastAsia="ko-KR"/>
        </w:rPr>
        <w:t>indicates preamble initial transmission;</w:t>
      </w:r>
    </w:p>
    <w:p w14:paraId="2D725803" w14:textId="385658CF" w:rsidR="00E7511F" w:rsidRDefault="00E7511F" w:rsidP="0031061B">
      <w:pPr>
        <w:widowControl w:val="0"/>
        <w:spacing w:after="120"/>
        <w:jc w:val="both"/>
        <w:rPr>
          <w:lang w:eastAsia="ko-KR"/>
        </w:rPr>
      </w:pPr>
      <w:r>
        <w:rPr>
          <w:rFonts w:ascii="Times New Roman" w:eastAsia="等线" w:hAnsi="Times New Roman"/>
          <w:kern w:val="2"/>
        </w:rPr>
        <w:t xml:space="preserve">Step 2: UE </w:t>
      </w:r>
      <w:r>
        <w:rPr>
          <w:lang w:eastAsia="ko-KR"/>
        </w:rPr>
        <w:t>perform the 1</w:t>
      </w:r>
      <w:r w:rsidRPr="00101705">
        <w:rPr>
          <w:vertAlign w:val="superscript"/>
          <w:lang w:eastAsia="ko-KR"/>
        </w:rPr>
        <w:t>st</w:t>
      </w:r>
      <w:r>
        <w:rPr>
          <w:lang w:eastAsia="ko-KR"/>
        </w:rPr>
        <w:t xml:space="preserve"> preamble transmission</w:t>
      </w:r>
      <w:r>
        <w:rPr>
          <w:rFonts w:asciiTheme="minorEastAsia" w:eastAsiaTheme="minorEastAsia" w:hAnsiTheme="minorEastAsia" w:hint="eastAsia"/>
        </w:rPr>
        <w:t>.</w:t>
      </w:r>
      <w:r>
        <w:rPr>
          <w:lang w:eastAsia="ko-KR"/>
        </w:rPr>
        <w:t xml:space="preserve"> According to the running CR: UE </w:t>
      </w:r>
      <w:r>
        <w:rPr>
          <w:rFonts w:ascii="Times New Roman" w:eastAsia="等线" w:hAnsi="Times New Roman"/>
          <w:kern w:val="2"/>
        </w:rPr>
        <w:t xml:space="preserve">sets </w:t>
      </w:r>
      <w:r w:rsidRPr="00E87D15">
        <w:rPr>
          <w:lang w:eastAsia="ko-KR"/>
        </w:rPr>
        <w:t xml:space="preserve">the </w:t>
      </w:r>
      <w:r w:rsidRPr="00E87D15">
        <w:rPr>
          <w:i/>
          <w:lang w:eastAsia="ko-KR"/>
        </w:rPr>
        <w:t>PREAMBLE_POWER_RAMPING_COUNTER</w:t>
      </w:r>
      <w:r w:rsidRPr="00E87D15">
        <w:rPr>
          <w:lang w:eastAsia="ko-KR"/>
        </w:rPr>
        <w:t xml:space="preserve"> to 1</w:t>
      </w:r>
      <w:r>
        <w:rPr>
          <w:lang w:eastAsia="ko-KR"/>
        </w:rPr>
        <w:t xml:space="preserve"> before the 1</w:t>
      </w:r>
      <w:r w:rsidRPr="0088176E">
        <w:rPr>
          <w:vertAlign w:val="superscript"/>
          <w:lang w:eastAsia="ko-KR"/>
        </w:rPr>
        <w:t>st</w:t>
      </w:r>
      <w:r>
        <w:rPr>
          <w:lang w:eastAsia="ko-KR"/>
        </w:rPr>
        <w:t xml:space="preserve"> preamble transmission;</w:t>
      </w:r>
    </w:p>
    <w:p w14:paraId="13AAA5BD" w14:textId="68A75920" w:rsidR="00E7511F" w:rsidRDefault="00E7511F" w:rsidP="0031061B">
      <w:pPr>
        <w:widowControl w:val="0"/>
        <w:spacing w:after="120"/>
        <w:jc w:val="both"/>
        <w:rPr>
          <w:lang w:eastAsia="ko-KR"/>
        </w:rPr>
      </w:pPr>
      <w:r>
        <w:rPr>
          <w:rFonts w:ascii="Times New Roman" w:eastAsia="等线" w:hAnsi="Times New Roman" w:hint="eastAsia"/>
          <w:kern w:val="2"/>
        </w:rPr>
        <w:t>S</w:t>
      </w:r>
      <w:r>
        <w:rPr>
          <w:rFonts w:ascii="Times New Roman" w:eastAsia="等线" w:hAnsi="Times New Roman"/>
          <w:kern w:val="2"/>
        </w:rPr>
        <w:t xml:space="preserve">tep3: </w:t>
      </w:r>
      <w:r w:rsidRPr="00101705">
        <w:rPr>
          <w:rFonts w:ascii="Times New Roman" w:eastAsia="等线" w:hAnsi="Times New Roman"/>
          <w:i/>
          <w:kern w:val="2"/>
        </w:rPr>
        <w:t xml:space="preserve">UE </w:t>
      </w:r>
      <w:r>
        <w:rPr>
          <w:rFonts w:ascii="Times New Roman" w:eastAsia="等线" w:hAnsi="Times New Roman"/>
          <w:kern w:val="2"/>
        </w:rPr>
        <w:t>starts a CBRA in serving cell (e.g. triggered by UL data arrival)</w:t>
      </w:r>
      <w:r w:rsidR="00E1260D">
        <w:rPr>
          <w:rFonts w:ascii="Times New Roman" w:eastAsia="等线" w:hAnsi="Times New Roman"/>
          <w:kern w:val="2"/>
        </w:rPr>
        <w:t>.</w:t>
      </w:r>
      <w:r>
        <w:rPr>
          <w:rFonts w:ascii="Times New Roman" w:eastAsia="等线" w:hAnsi="Times New Roman"/>
          <w:kern w:val="2"/>
        </w:rPr>
        <w:t xml:space="preserve"> </w:t>
      </w:r>
      <w:r>
        <w:rPr>
          <w:lang w:eastAsia="ko-KR"/>
        </w:rPr>
        <w:t xml:space="preserve">According to the running CR: UE </w:t>
      </w:r>
      <w:r>
        <w:rPr>
          <w:rFonts w:ascii="Times New Roman" w:eastAsia="等线" w:hAnsi="Times New Roman"/>
          <w:kern w:val="2"/>
        </w:rPr>
        <w:t xml:space="preserve">sets </w:t>
      </w:r>
      <w:r w:rsidRPr="00E87D15">
        <w:rPr>
          <w:lang w:eastAsia="ko-KR"/>
        </w:rPr>
        <w:t xml:space="preserve">the </w:t>
      </w:r>
      <w:r w:rsidRPr="00E87D15">
        <w:rPr>
          <w:i/>
          <w:lang w:eastAsia="ko-KR"/>
        </w:rPr>
        <w:t>PREAMBLE_POWER_RAMPING_COUNTER</w:t>
      </w:r>
      <w:r w:rsidRPr="00E87D15">
        <w:rPr>
          <w:lang w:eastAsia="ko-KR"/>
        </w:rPr>
        <w:t xml:space="preserve"> to 1</w:t>
      </w:r>
      <w:r>
        <w:rPr>
          <w:lang w:eastAsia="ko-KR"/>
        </w:rPr>
        <w:t xml:space="preserve"> </w:t>
      </w:r>
      <w:r>
        <w:rPr>
          <w:rFonts w:ascii="Times New Roman" w:eastAsia="等线" w:hAnsi="Times New Roman"/>
          <w:kern w:val="2"/>
        </w:rPr>
        <w:t>before the 2</w:t>
      </w:r>
      <w:r w:rsidRPr="00101705">
        <w:rPr>
          <w:rFonts w:ascii="Times New Roman" w:eastAsia="等线" w:hAnsi="Times New Roman"/>
          <w:kern w:val="2"/>
          <w:vertAlign w:val="superscript"/>
        </w:rPr>
        <w:t>nd</w:t>
      </w:r>
      <w:r>
        <w:rPr>
          <w:rFonts w:ascii="Times New Roman" w:eastAsia="等线" w:hAnsi="Times New Roman"/>
          <w:kern w:val="2"/>
        </w:rPr>
        <w:t xml:space="preserve"> </w:t>
      </w:r>
      <w:r>
        <w:rPr>
          <w:lang w:eastAsia="ko-KR"/>
        </w:rPr>
        <w:t>preamble transmission;</w:t>
      </w:r>
    </w:p>
    <w:p w14:paraId="36410B86" w14:textId="2F904C10" w:rsidR="00E1260D" w:rsidRDefault="00E7511F" w:rsidP="0031061B">
      <w:pPr>
        <w:widowControl w:val="0"/>
        <w:spacing w:after="120"/>
        <w:jc w:val="both"/>
        <w:rPr>
          <w:lang w:eastAsia="ko-KR"/>
        </w:rPr>
      </w:pPr>
      <w:r>
        <w:rPr>
          <w:rFonts w:eastAsiaTheme="minorEastAsia" w:hint="eastAsia"/>
        </w:rPr>
        <w:t>S</w:t>
      </w:r>
      <w:r>
        <w:rPr>
          <w:rFonts w:eastAsiaTheme="minorEastAsia"/>
        </w:rPr>
        <w:t xml:space="preserve">tep4: </w:t>
      </w:r>
      <w:r w:rsidR="00E1260D">
        <w:rPr>
          <w:rFonts w:eastAsiaTheme="minorEastAsia"/>
        </w:rPr>
        <w:t>S</w:t>
      </w:r>
      <w:r>
        <w:rPr>
          <w:rFonts w:eastAsiaTheme="minorEastAsia"/>
        </w:rPr>
        <w:t xml:space="preserve">ince the </w:t>
      </w:r>
      <w:r w:rsidR="00E1260D">
        <w:rPr>
          <w:lang w:eastAsia="ko-KR"/>
        </w:rPr>
        <w:t>preamble initial transmission</w:t>
      </w:r>
      <w:r w:rsidR="00E1260D">
        <w:rPr>
          <w:rFonts w:eastAsiaTheme="minorEastAsia"/>
        </w:rPr>
        <w:t xml:space="preserve"> for </w:t>
      </w:r>
      <w:r w:rsidR="00E1260D">
        <w:rPr>
          <w:rFonts w:ascii="Times New Roman" w:eastAsia="等线" w:hAnsi="Times New Roman"/>
          <w:kern w:val="2"/>
        </w:rPr>
        <w:t xml:space="preserve">early TA acquisition fails, </w:t>
      </w:r>
      <w:r w:rsidR="00E1260D">
        <w:rPr>
          <w:rFonts w:eastAsiaTheme="minorEastAsia"/>
        </w:rPr>
        <w:t>UE</w:t>
      </w:r>
      <w:r w:rsidR="00E1260D">
        <w:rPr>
          <w:rFonts w:ascii="Times New Roman" w:eastAsia="等线" w:hAnsi="Times New Roman"/>
          <w:kern w:val="2"/>
        </w:rPr>
        <w:t xml:space="preserve"> receives a PDCCH order for early TA acquisition </w:t>
      </w:r>
      <w:r w:rsidR="00E1260D">
        <w:rPr>
          <w:lang w:eastAsia="ko-KR"/>
        </w:rPr>
        <w:t>indicates preamble re-transmission, toward the same LTM candidate cell as the last Random Access Preamble transmission</w:t>
      </w:r>
      <w:r w:rsidR="00E1260D" w:rsidRPr="00002EB3">
        <w:rPr>
          <w:lang w:eastAsia="ko-KR"/>
        </w:rPr>
        <w:t xml:space="preserve"> </w:t>
      </w:r>
      <w:r w:rsidR="00E1260D">
        <w:rPr>
          <w:lang w:eastAsia="ko-KR"/>
        </w:rPr>
        <w:t xml:space="preserve">initiated by the PDCCH order to an LTM candidate cell. Because the step 3 is CBRA, the network has no idea that the UE has another </w:t>
      </w:r>
      <w:r w:rsidR="001837C3">
        <w:rPr>
          <w:lang w:eastAsia="ko-KR"/>
        </w:rPr>
        <w:t xml:space="preserve">ongoing </w:t>
      </w:r>
      <w:r w:rsidR="00E1260D">
        <w:rPr>
          <w:lang w:eastAsia="ko-KR"/>
        </w:rPr>
        <w:t>RACH procedure</w:t>
      </w:r>
      <w:r w:rsidR="001837C3">
        <w:rPr>
          <w:lang w:eastAsia="ko-KR"/>
        </w:rPr>
        <w:t xml:space="preserve"> besides the retransmission of early TA acquisition</w:t>
      </w:r>
      <w:r w:rsidR="00E1260D">
        <w:rPr>
          <w:lang w:eastAsia="ko-KR"/>
        </w:rPr>
        <w:t xml:space="preserve">. RACH collision occurs. </w:t>
      </w:r>
    </w:p>
    <w:p w14:paraId="246FB61C" w14:textId="1FDB703D" w:rsidR="00E7511F" w:rsidRDefault="00E1260D" w:rsidP="0031061B">
      <w:pPr>
        <w:widowControl w:val="0"/>
        <w:spacing w:after="120"/>
        <w:jc w:val="both"/>
        <w:rPr>
          <w:lang w:eastAsia="ko-KR"/>
        </w:rPr>
      </w:pPr>
      <w:r>
        <w:rPr>
          <w:rFonts w:eastAsiaTheme="minorEastAsia" w:hint="eastAsia"/>
        </w:rPr>
        <w:t>S</w:t>
      </w:r>
      <w:r>
        <w:rPr>
          <w:rFonts w:eastAsiaTheme="minorEastAsia"/>
        </w:rPr>
        <w:t xml:space="preserve">tep5: </w:t>
      </w:r>
      <w:r>
        <w:rPr>
          <w:rFonts w:ascii="Times New Roman" w:eastAsia="等线" w:hAnsi="Times New Roman"/>
          <w:kern w:val="2"/>
        </w:rPr>
        <w:t>UE decides to drop the ongoing CBRA and perform</w:t>
      </w:r>
      <w:r w:rsidR="001837C3">
        <w:rPr>
          <w:rFonts w:ascii="Times New Roman" w:eastAsia="等线" w:hAnsi="Times New Roman"/>
          <w:kern w:val="2"/>
        </w:rPr>
        <w:t>s</w:t>
      </w:r>
      <w:r>
        <w:rPr>
          <w:rFonts w:ascii="Times New Roman" w:eastAsia="等线" w:hAnsi="Times New Roman"/>
          <w:kern w:val="2"/>
        </w:rPr>
        <w:t xml:space="preserve"> early TA acquisition, i.e. the 3</w:t>
      </w:r>
      <w:r w:rsidRPr="00101705">
        <w:rPr>
          <w:rFonts w:ascii="Times New Roman" w:eastAsia="等线" w:hAnsi="Times New Roman"/>
          <w:kern w:val="2"/>
          <w:vertAlign w:val="superscript"/>
        </w:rPr>
        <w:t>rd</w:t>
      </w:r>
      <w:r>
        <w:rPr>
          <w:rFonts w:ascii="Times New Roman" w:eastAsia="等线" w:hAnsi="Times New Roman"/>
          <w:kern w:val="2"/>
        </w:rPr>
        <w:t xml:space="preserve"> </w:t>
      </w:r>
      <w:r>
        <w:rPr>
          <w:lang w:eastAsia="ko-KR"/>
        </w:rPr>
        <w:t>preamble transmission</w:t>
      </w:r>
      <w:r w:rsidR="001837C3">
        <w:rPr>
          <w:lang w:eastAsia="ko-KR"/>
        </w:rPr>
        <w:t xml:space="preserve"> towards LTM candidate cell</w:t>
      </w:r>
      <w:r>
        <w:rPr>
          <w:rFonts w:ascii="Times New Roman" w:eastAsia="等线" w:hAnsi="Times New Roman"/>
          <w:kern w:val="2"/>
        </w:rPr>
        <w:t xml:space="preserve">. </w:t>
      </w:r>
      <w:r>
        <w:rPr>
          <w:lang w:eastAsia="ko-KR"/>
        </w:rPr>
        <w:t xml:space="preserve">According to the running CR: UE increases the </w:t>
      </w:r>
      <w:r w:rsidRPr="00E87D15">
        <w:rPr>
          <w:i/>
          <w:lang w:eastAsia="ko-KR"/>
        </w:rPr>
        <w:t>PREAMBLE_POWER_RAMPING_COUNTER</w:t>
      </w:r>
      <w:r>
        <w:rPr>
          <w:i/>
          <w:lang w:eastAsia="ko-KR"/>
        </w:rPr>
        <w:t xml:space="preserve"> </w:t>
      </w:r>
      <w:r w:rsidRPr="00E1260D">
        <w:rPr>
          <w:rFonts w:ascii="Times New Roman" w:eastAsia="等线" w:hAnsi="Times New Roman"/>
          <w:kern w:val="2"/>
        </w:rPr>
        <w:t xml:space="preserve">which </w:t>
      </w:r>
      <w:r>
        <w:rPr>
          <w:rFonts w:ascii="Times New Roman" w:eastAsia="等线" w:hAnsi="Times New Roman"/>
          <w:kern w:val="2"/>
        </w:rPr>
        <w:t>was</w:t>
      </w:r>
      <w:r w:rsidRPr="00E1260D">
        <w:rPr>
          <w:rFonts w:ascii="Times New Roman" w:eastAsia="等线" w:hAnsi="Times New Roman"/>
          <w:kern w:val="2"/>
        </w:rPr>
        <w:t xml:space="preserve"> reset in step3 for CBRA towards the serving cell</w:t>
      </w:r>
      <w:r>
        <w:rPr>
          <w:rFonts w:ascii="Times New Roman" w:eastAsia="等线" w:hAnsi="Times New Roman"/>
          <w:kern w:val="2"/>
        </w:rPr>
        <w:t xml:space="preserve"> by 1 before the 3</w:t>
      </w:r>
      <w:r>
        <w:rPr>
          <w:rFonts w:ascii="Times New Roman" w:eastAsia="等线" w:hAnsi="Times New Roman"/>
          <w:kern w:val="2"/>
          <w:vertAlign w:val="superscript"/>
        </w:rPr>
        <w:t>r</w:t>
      </w:r>
      <w:r w:rsidRPr="0088176E">
        <w:rPr>
          <w:rFonts w:ascii="Times New Roman" w:eastAsia="等线" w:hAnsi="Times New Roman"/>
          <w:kern w:val="2"/>
          <w:vertAlign w:val="superscript"/>
        </w:rPr>
        <w:t>d</w:t>
      </w:r>
      <w:r>
        <w:rPr>
          <w:rFonts w:ascii="Times New Roman" w:eastAsia="等线" w:hAnsi="Times New Roman"/>
          <w:kern w:val="2"/>
        </w:rPr>
        <w:t xml:space="preserve"> </w:t>
      </w:r>
      <w:r>
        <w:rPr>
          <w:lang w:eastAsia="ko-KR"/>
        </w:rPr>
        <w:t>preamble transmission.</w:t>
      </w:r>
    </w:p>
    <w:p w14:paraId="508CBFA6" w14:textId="0B3826E7" w:rsidR="00511267" w:rsidRDefault="00F05B49" w:rsidP="009255C4">
      <w:pPr>
        <w:widowControl w:val="0"/>
        <w:spacing w:after="120"/>
        <w:jc w:val="both"/>
        <w:rPr>
          <w:rFonts w:ascii="Times New Roman" w:eastAsia="等线" w:hAnsi="Times New Roman"/>
          <w:kern w:val="2"/>
        </w:rPr>
      </w:pPr>
      <w:r>
        <w:rPr>
          <w:rFonts w:ascii="Times New Roman" w:eastAsia="等线" w:hAnsi="Times New Roman"/>
          <w:kern w:val="2"/>
        </w:rPr>
        <w:t xml:space="preserve">In the example, the UE sends preamble towards to different cells in step 3 and 5 without resetting the </w:t>
      </w:r>
      <w:r w:rsidRPr="00E87D15">
        <w:rPr>
          <w:i/>
          <w:lang w:eastAsia="ko-KR"/>
        </w:rPr>
        <w:t>PREAMBLE_POWER_RAMPING_COUNTER</w:t>
      </w:r>
      <w:r>
        <w:rPr>
          <w:rFonts w:ascii="Times New Roman" w:eastAsia="等线" w:hAnsi="Times New Roman"/>
          <w:kern w:val="2"/>
        </w:rPr>
        <w:t xml:space="preserve">. In our understanding, it is not the expected UE behavior. </w:t>
      </w:r>
      <w:r w:rsidR="00A65D36">
        <w:rPr>
          <w:rFonts w:ascii="Times New Roman" w:eastAsia="等线" w:hAnsi="Times New Roman"/>
          <w:kern w:val="2"/>
        </w:rPr>
        <w:t xml:space="preserve">Hence, </w:t>
      </w:r>
      <w:r w:rsidR="006568C6">
        <w:rPr>
          <w:rFonts w:ascii="Times New Roman" w:eastAsia="等线" w:hAnsi="Times New Roman"/>
          <w:kern w:val="2"/>
        </w:rPr>
        <w:t>w</w:t>
      </w:r>
      <w:r w:rsidR="001837C3">
        <w:rPr>
          <w:rFonts w:ascii="Times New Roman" w:eastAsia="等线" w:hAnsi="Times New Roman"/>
          <w:kern w:val="2"/>
        </w:rPr>
        <w:t xml:space="preserve">e propose that UE </w:t>
      </w:r>
      <w:r w:rsidR="00A65D36">
        <w:rPr>
          <w:rFonts w:ascii="Times New Roman" w:eastAsia="等线" w:hAnsi="Times New Roman"/>
          <w:kern w:val="2"/>
        </w:rPr>
        <w:t>reset</w:t>
      </w:r>
      <w:r w:rsidR="001837C3">
        <w:rPr>
          <w:rFonts w:ascii="Times New Roman" w:eastAsia="等线" w:hAnsi="Times New Roman"/>
          <w:kern w:val="2"/>
        </w:rPr>
        <w:t>s</w:t>
      </w:r>
      <w:r w:rsidR="00A65D36">
        <w:rPr>
          <w:rFonts w:ascii="Times New Roman" w:eastAsia="等线" w:hAnsi="Times New Roman"/>
          <w:kern w:val="2"/>
        </w:rPr>
        <w:t xml:space="preserve"> the </w:t>
      </w:r>
      <w:bookmarkStart w:id="5" w:name="OLE_LINK1"/>
      <w:bookmarkStart w:id="6" w:name="OLE_LINK2"/>
      <w:r w:rsidRPr="00E87D15">
        <w:rPr>
          <w:i/>
          <w:lang w:eastAsia="ko-KR"/>
        </w:rPr>
        <w:t>PREAMBLE_POWER_RAMPING_COUNTER</w:t>
      </w:r>
      <w:bookmarkEnd w:id="5"/>
      <w:bookmarkEnd w:id="6"/>
      <w:r w:rsidR="001837C3">
        <w:rPr>
          <w:i/>
          <w:lang w:eastAsia="ko-KR"/>
        </w:rPr>
        <w:t xml:space="preserve"> </w:t>
      </w:r>
      <w:r>
        <w:rPr>
          <w:rFonts w:ascii="Times New Roman" w:eastAsia="等线" w:hAnsi="Times New Roman"/>
          <w:kern w:val="2"/>
        </w:rPr>
        <w:t>for early TA acquisition</w:t>
      </w:r>
      <w:r w:rsidR="00A65D36">
        <w:rPr>
          <w:rFonts w:ascii="Times New Roman" w:eastAsia="等线" w:hAnsi="Times New Roman"/>
          <w:kern w:val="2"/>
        </w:rPr>
        <w:t xml:space="preserve"> if </w:t>
      </w:r>
      <w:r>
        <w:rPr>
          <w:rFonts w:ascii="Times New Roman" w:eastAsia="等线" w:hAnsi="Times New Roman"/>
          <w:kern w:val="2"/>
        </w:rPr>
        <w:t>the</w:t>
      </w:r>
      <w:r w:rsidR="00A65D36">
        <w:rPr>
          <w:rFonts w:ascii="Times New Roman" w:eastAsia="等线" w:hAnsi="Times New Roman"/>
          <w:kern w:val="2"/>
        </w:rPr>
        <w:t xml:space="preserve"> last performed RACH is </w:t>
      </w:r>
      <w:r>
        <w:rPr>
          <w:rFonts w:ascii="Times New Roman" w:eastAsia="等线" w:hAnsi="Times New Roman"/>
          <w:kern w:val="2"/>
        </w:rPr>
        <w:t>towards serving cell</w:t>
      </w:r>
      <w:r w:rsidR="00A65D36">
        <w:rPr>
          <w:rFonts w:ascii="Times New Roman" w:eastAsia="等线" w:hAnsi="Times New Roman"/>
          <w:kern w:val="2"/>
        </w:rPr>
        <w:t>.</w:t>
      </w:r>
    </w:p>
    <w:p w14:paraId="198305B3" w14:textId="043932E1" w:rsidR="0042509E" w:rsidRPr="0042509E" w:rsidRDefault="0042509E" w:rsidP="009255C4">
      <w:pPr>
        <w:spacing w:after="120"/>
        <w:jc w:val="both"/>
        <w:rPr>
          <w:rFonts w:ascii="Times New Roman" w:eastAsia="MS Mincho" w:hAnsi="Times New Roman"/>
          <w:b/>
          <w:lang w:val="en-GB" w:eastAsia="en-GB"/>
        </w:rPr>
      </w:pPr>
      <w:r w:rsidRPr="0042509E">
        <w:rPr>
          <w:rFonts w:ascii="Times New Roman" w:eastAsia="MS Mincho" w:hAnsi="Times New Roman"/>
          <w:b/>
          <w:lang w:val="en-GB" w:eastAsia="en-GB"/>
        </w:rPr>
        <w:t xml:space="preserve">Proposal </w:t>
      </w:r>
      <w:r w:rsidR="00A65D36">
        <w:rPr>
          <w:rFonts w:ascii="Times New Roman" w:eastAsia="MS Mincho" w:hAnsi="Times New Roman"/>
          <w:b/>
          <w:lang w:val="en-GB" w:eastAsia="en-GB"/>
        </w:rPr>
        <w:t>1</w:t>
      </w:r>
      <w:r w:rsidRPr="0042509E">
        <w:rPr>
          <w:rFonts w:ascii="Times New Roman" w:eastAsia="MS Mincho" w:hAnsi="Times New Roman"/>
          <w:b/>
          <w:lang w:val="en-GB" w:eastAsia="en-GB"/>
        </w:rPr>
        <w:t>: Upon the initiation of an early RACH triggered by PDCCH order (no matter initial transmission or retransmission is indicate</w:t>
      </w:r>
      <w:r w:rsidRPr="000F1BA9">
        <w:rPr>
          <w:rFonts w:ascii="Times New Roman" w:eastAsia="MS Mincho" w:hAnsi="Times New Roman"/>
          <w:b/>
          <w:lang w:val="en-GB" w:eastAsia="en-GB"/>
        </w:rPr>
        <w:t xml:space="preserve">d), </w:t>
      </w:r>
      <w:r w:rsidR="00F05B49" w:rsidRPr="00DC594F">
        <w:rPr>
          <w:b/>
          <w:i/>
          <w:lang w:eastAsia="ko-KR"/>
        </w:rPr>
        <w:t>PREAMBLE_POWER_RAMPING_COUNTER</w:t>
      </w:r>
      <w:r w:rsidRPr="000F1BA9">
        <w:rPr>
          <w:rFonts w:ascii="Times New Roman" w:eastAsia="MS Mincho" w:hAnsi="Times New Roman"/>
          <w:b/>
          <w:lang w:val="en-GB" w:eastAsia="en-GB"/>
        </w:rPr>
        <w:t xml:space="preserve"> should be re</w:t>
      </w:r>
      <w:r w:rsidRPr="0042509E">
        <w:rPr>
          <w:rFonts w:ascii="Times New Roman" w:eastAsia="MS Mincho" w:hAnsi="Times New Roman"/>
          <w:b/>
          <w:lang w:val="en-GB" w:eastAsia="en-GB"/>
        </w:rPr>
        <w:t xml:space="preserve">set </w:t>
      </w:r>
      <w:r w:rsidR="00A65D36">
        <w:rPr>
          <w:rFonts w:ascii="Times New Roman" w:eastAsia="MS Mincho" w:hAnsi="Times New Roman"/>
          <w:b/>
          <w:lang w:val="en-GB" w:eastAsia="en-GB"/>
        </w:rPr>
        <w:t xml:space="preserve">to 1 </w:t>
      </w:r>
      <w:r w:rsidRPr="0042509E">
        <w:rPr>
          <w:rFonts w:ascii="Times New Roman" w:eastAsia="MS Mincho" w:hAnsi="Times New Roman"/>
          <w:b/>
          <w:lang w:val="en-GB" w:eastAsia="en-GB"/>
        </w:rPr>
        <w:t>if the last performed RACH is toward current serving cell.</w:t>
      </w:r>
      <w:bookmarkStart w:id="7" w:name="_Hlk142662859"/>
    </w:p>
    <w:p w14:paraId="5E1A39E7" w14:textId="7B993654" w:rsidR="0042509E" w:rsidRPr="0042509E" w:rsidRDefault="0042509E" w:rsidP="0042509E">
      <w:pPr>
        <w:keepNext/>
        <w:widowControl w:val="0"/>
        <w:numPr>
          <w:ilvl w:val="1"/>
          <w:numId w:val="3"/>
        </w:numPr>
        <w:tabs>
          <w:tab w:val="num" w:pos="567"/>
        </w:tabs>
        <w:spacing w:before="180" w:after="180"/>
        <w:jc w:val="both"/>
        <w:outlineLvl w:val="1"/>
        <w:rPr>
          <w:rFonts w:ascii="Arial" w:eastAsia="MS Mincho" w:hAnsi="Arial" w:cs="Arial"/>
          <w:iCs/>
          <w:sz w:val="30"/>
          <w:szCs w:val="30"/>
        </w:rPr>
      </w:pPr>
      <w:r w:rsidRPr="0042509E">
        <w:rPr>
          <w:rFonts w:ascii="Arial" w:eastAsia="MS Mincho" w:hAnsi="Arial" w:cs="Arial"/>
          <w:iCs/>
          <w:sz w:val="30"/>
          <w:szCs w:val="30"/>
        </w:rPr>
        <w:t>LBT</w:t>
      </w:r>
    </w:p>
    <w:p w14:paraId="2F2C38AC" w14:textId="77777777" w:rsidR="0042509E" w:rsidRPr="0042509E" w:rsidRDefault="0042509E" w:rsidP="0042509E">
      <w:pPr>
        <w:widowControl w:val="0"/>
        <w:spacing w:after="120"/>
        <w:jc w:val="both"/>
        <w:rPr>
          <w:rFonts w:ascii="Times New Roman" w:eastAsia="等线" w:hAnsi="Times New Roman"/>
          <w:kern w:val="2"/>
        </w:rPr>
      </w:pPr>
      <w:r w:rsidRPr="0042509E">
        <w:rPr>
          <w:rFonts w:ascii="Times New Roman" w:eastAsia="等线" w:hAnsi="Times New Roman"/>
          <w:kern w:val="2"/>
        </w:rPr>
        <w:t>In RAN2#123 meeting, we have the following FFS on LBT failure for early RACH procedure.</w:t>
      </w:r>
    </w:p>
    <w:tbl>
      <w:tblPr>
        <w:tblStyle w:val="14"/>
        <w:tblW w:w="0" w:type="auto"/>
        <w:tblLook w:val="04A0" w:firstRow="1" w:lastRow="0" w:firstColumn="1" w:lastColumn="0" w:noHBand="0" w:noVBand="1"/>
      </w:tblPr>
      <w:tblGrid>
        <w:gridCol w:w="9060"/>
      </w:tblGrid>
      <w:tr w:rsidR="0042509E" w:rsidRPr="0042509E" w14:paraId="2908AFD0" w14:textId="77777777" w:rsidTr="009818DC">
        <w:tc>
          <w:tcPr>
            <w:tcW w:w="9628" w:type="dxa"/>
          </w:tcPr>
          <w:p w14:paraId="4E86EB96" w14:textId="77777777" w:rsidR="0042509E" w:rsidRPr="0042509E" w:rsidRDefault="0042509E" w:rsidP="0042509E">
            <w:pPr>
              <w:widowControl w:val="0"/>
              <w:numPr>
                <w:ilvl w:val="0"/>
                <w:numId w:val="1"/>
              </w:numPr>
              <w:tabs>
                <w:tab w:val="clear" w:pos="612"/>
                <w:tab w:val="num" w:pos="1619"/>
              </w:tabs>
              <w:spacing w:after="120"/>
              <w:ind w:left="641" w:hanging="357"/>
              <w:jc w:val="both"/>
              <w:rPr>
                <w:rFonts w:ascii="Times New Roman" w:eastAsia="MS Mincho" w:hAnsi="Times New Roman"/>
                <w:b/>
                <w:lang w:eastAsia="en-GB"/>
              </w:rPr>
            </w:pPr>
            <w:r w:rsidRPr="0042509E">
              <w:rPr>
                <w:rFonts w:ascii="Times New Roman" w:eastAsia="MS Mincho" w:hAnsi="Times New Roman"/>
                <w:b/>
                <w:lang w:eastAsia="en-GB"/>
              </w:rPr>
              <w:t xml:space="preserve">FFS if UE transmits the preamble without the power ramping upon reception of PDCCH order with retransmission indication if preamble transmission encounter the LBT failure. </w:t>
            </w:r>
          </w:p>
        </w:tc>
      </w:tr>
    </w:tbl>
    <w:p w14:paraId="4D4D7BA1" w14:textId="77777777" w:rsidR="0042509E" w:rsidRPr="0042509E" w:rsidRDefault="0042509E" w:rsidP="0042509E">
      <w:pPr>
        <w:widowControl w:val="0"/>
        <w:spacing w:after="120"/>
        <w:jc w:val="both"/>
        <w:rPr>
          <w:rFonts w:ascii="Times New Roman" w:eastAsia="等线" w:hAnsi="Times New Roman"/>
          <w:kern w:val="2"/>
          <w:lang w:val="en-GB"/>
        </w:rPr>
      </w:pPr>
      <w:r w:rsidRPr="0042509E">
        <w:rPr>
          <w:rFonts w:ascii="Times New Roman" w:eastAsia="等线" w:hAnsi="Times New Roman" w:hint="eastAsia"/>
          <w:kern w:val="2"/>
          <w:lang w:val="en-GB"/>
        </w:rPr>
        <w:t>In</w:t>
      </w:r>
      <w:r w:rsidRPr="0042509E">
        <w:rPr>
          <w:rFonts w:ascii="Times New Roman" w:eastAsia="等线" w:hAnsi="Times New Roman"/>
          <w:kern w:val="2"/>
          <w:lang w:val="en-GB"/>
        </w:rPr>
        <w:t xml:space="preserve"> the </w:t>
      </w:r>
      <w:r w:rsidRPr="0042509E">
        <w:rPr>
          <w:rFonts w:ascii="Times New Roman" w:eastAsia="等线" w:hAnsi="Times New Roman" w:hint="eastAsia"/>
          <w:kern w:val="2"/>
          <w:lang w:val="en-GB"/>
        </w:rPr>
        <w:t>current</w:t>
      </w:r>
      <w:r w:rsidRPr="0042509E">
        <w:rPr>
          <w:rFonts w:ascii="Times New Roman" w:eastAsia="等线" w:hAnsi="Times New Roman"/>
          <w:kern w:val="2"/>
          <w:lang w:val="en-GB"/>
        </w:rPr>
        <w:t xml:space="preserve"> MAC </w:t>
      </w:r>
      <w:r w:rsidRPr="0042509E">
        <w:rPr>
          <w:rFonts w:ascii="Times New Roman" w:eastAsia="等线" w:hAnsi="Times New Roman" w:hint="eastAsia"/>
          <w:kern w:val="2"/>
          <w:lang w:val="en-GB"/>
        </w:rPr>
        <w:t>specification,</w:t>
      </w:r>
      <w:r w:rsidRPr="0042509E">
        <w:rPr>
          <w:rFonts w:ascii="Times New Roman" w:eastAsia="等线" w:hAnsi="Times New Roman"/>
          <w:kern w:val="2"/>
          <w:lang w:val="en-GB"/>
        </w:rPr>
        <w:t xml:space="preserve"> the power ramping counter is not increased for a RACH attempt if the last preamble transmission is not performed due to LBT failure, since the failure of the last preamble transmission is not caused by low uplink power. We think the legacy mechanism can be reused to early TA acquisition.</w:t>
      </w:r>
    </w:p>
    <w:p w14:paraId="308CAAC1" w14:textId="6D6C64F2" w:rsidR="0042509E" w:rsidRPr="008F44ED" w:rsidRDefault="0042509E" w:rsidP="0042509E">
      <w:pPr>
        <w:spacing w:after="120"/>
        <w:jc w:val="both"/>
        <w:rPr>
          <w:rFonts w:ascii="Times New Roman" w:eastAsia="宋体" w:hAnsi="Times New Roman"/>
          <w:b/>
          <w:bCs/>
          <w:lang w:eastAsia="en-US"/>
        </w:rPr>
      </w:pPr>
      <w:r w:rsidRPr="0042509E">
        <w:rPr>
          <w:rFonts w:ascii="Times New Roman" w:eastAsia="宋体" w:hAnsi="Times New Roman"/>
          <w:b/>
          <w:bCs/>
          <w:lang w:eastAsia="en-US"/>
        </w:rPr>
        <w:t xml:space="preserve">Proposal </w:t>
      </w:r>
      <w:r w:rsidR="00A65D36">
        <w:rPr>
          <w:rFonts w:ascii="Times New Roman" w:eastAsia="宋体" w:hAnsi="Times New Roman"/>
          <w:b/>
          <w:bCs/>
          <w:lang w:eastAsia="en-US"/>
        </w:rPr>
        <w:t>2</w:t>
      </w:r>
      <w:r w:rsidRPr="0042509E">
        <w:rPr>
          <w:rFonts w:ascii="Times New Roman" w:eastAsia="宋体" w:hAnsi="Times New Roman" w:hint="eastAsia"/>
          <w:b/>
          <w:bCs/>
        </w:rPr>
        <w:t>:</w:t>
      </w:r>
      <w:r w:rsidRPr="0042509E">
        <w:rPr>
          <w:rFonts w:ascii="Times New Roman" w:eastAsia="宋体" w:hAnsi="Times New Roman"/>
          <w:b/>
          <w:bCs/>
        </w:rPr>
        <w:t xml:space="preserve"> </w:t>
      </w:r>
      <w:r w:rsidRPr="000F1BA9">
        <w:rPr>
          <w:rFonts w:ascii="Times New Roman" w:eastAsia="MS Mincho" w:hAnsi="Times New Roman"/>
          <w:b/>
          <w:lang w:val="en-GB" w:eastAsia="en-GB"/>
        </w:rPr>
        <w:t xml:space="preserve">If the </w:t>
      </w:r>
      <w:r w:rsidRPr="000F1BA9">
        <w:rPr>
          <w:rFonts w:ascii="Times New Roman" w:eastAsia="宋体" w:hAnsi="Times New Roman"/>
          <w:b/>
          <w:bCs/>
          <w:lang w:eastAsia="en-US"/>
        </w:rPr>
        <w:t xml:space="preserve">last early RACH fails due to the LBT failure, UE transmits the preamble without </w:t>
      </w:r>
      <w:r w:rsidR="008F44ED" w:rsidRPr="000F1BA9">
        <w:rPr>
          <w:rFonts w:ascii="Times New Roman" w:eastAsia="宋体" w:hAnsi="Times New Roman"/>
          <w:b/>
          <w:bCs/>
        </w:rPr>
        <w:t>increasing</w:t>
      </w:r>
      <w:r w:rsidR="008F44ED" w:rsidRPr="000F1BA9">
        <w:rPr>
          <w:rFonts w:ascii="Times New Roman" w:eastAsia="宋体" w:hAnsi="Times New Roman"/>
          <w:b/>
          <w:bCs/>
          <w:lang w:eastAsia="en-US"/>
        </w:rPr>
        <w:t xml:space="preserve"> </w:t>
      </w:r>
      <w:r w:rsidR="008F44ED" w:rsidRPr="008F44ED">
        <w:rPr>
          <w:rFonts w:ascii="Times New Roman" w:eastAsia="宋体" w:hAnsi="Times New Roman"/>
          <w:b/>
          <w:bCs/>
        </w:rPr>
        <w:t>the</w:t>
      </w:r>
      <w:r w:rsidR="008F44ED" w:rsidRPr="008F44ED">
        <w:rPr>
          <w:rFonts w:ascii="Times New Roman" w:eastAsia="宋体" w:hAnsi="Times New Roman"/>
          <w:b/>
          <w:bCs/>
          <w:lang w:eastAsia="en-US"/>
        </w:rPr>
        <w:t xml:space="preserve"> </w:t>
      </w:r>
      <w:r w:rsidR="008F44ED" w:rsidRPr="00DC594F">
        <w:rPr>
          <w:b/>
          <w:i/>
          <w:lang w:eastAsia="ko-KR"/>
        </w:rPr>
        <w:t>PREAMBLE_POWER_RAMPING_COUNTER</w:t>
      </w:r>
      <w:r w:rsidR="008F44ED" w:rsidRPr="000F1BA9" w:rsidDel="008F44ED">
        <w:rPr>
          <w:rFonts w:ascii="Times New Roman" w:eastAsia="宋体" w:hAnsi="Times New Roman"/>
          <w:b/>
          <w:bCs/>
          <w:lang w:eastAsia="en-US"/>
        </w:rPr>
        <w:t xml:space="preserve"> </w:t>
      </w:r>
      <w:r w:rsidRPr="000F1BA9">
        <w:rPr>
          <w:rFonts w:ascii="Times New Roman" w:eastAsia="宋体" w:hAnsi="Times New Roman"/>
          <w:b/>
          <w:bCs/>
          <w:lang w:eastAsia="en-US"/>
        </w:rPr>
        <w:t>upon reception of PDCCH order with retransmission indication.</w:t>
      </w:r>
    </w:p>
    <w:p w14:paraId="7AAB2063" w14:textId="73F07BA8" w:rsidR="00A65D36" w:rsidRPr="0042509E" w:rsidRDefault="00A65D36" w:rsidP="00A65D36">
      <w:pPr>
        <w:keepNext/>
        <w:widowControl w:val="0"/>
        <w:numPr>
          <w:ilvl w:val="1"/>
          <w:numId w:val="3"/>
        </w:numPr>
        <w:tabs>
          <w:tab w:val="num" w:pos="567"/>
        </w:tabs>
        <w:spacing w:before="180" w:after="180"/>
        <w:jc w:val="both"/>
        <w:outlineLvl w:val="1"/>
        <w:rPr>
          <w:rFonts w:ascii="Arial" w:eastAsia="MS Mincho" w:hAnsi="Arial" w:cs="Arial"/>
          <w:iCs/>
          <w:sz w:val="30"/>
          <w:szCs w:val="30"/>
        </w:rPr>
      </w:pPr>
      <w:r w:rsidRPr="0042509E">
        <w:rPr>
          <w:rFonts w:ascii="Arial" w:eastAsia="MS Mincho" w:hAnsi="Arial" w:cs="Arial" w:hint="eastAsia"/>
          <w:iCs/>
          <w:sz w:val="30"/>
          <w:szCs w:val="30"/>
        </w:rPr>
        <w:t>Impact</w:t>
      </w:r>
      <w:r w:rsidRPr="0042509E">
        <w:rPr>
          <w:rFonts w:ascii="Arial" w:eastAsia="MS Mincho" w:hAnsi="Arial" w:cs="Arial"/>
          <w:iCs/>
          <w:sz w:val="30"/>
          <w:szCs w:val="30"/>
        </w:rPr>
        <w:t xml:space="preserve"> </w:t>
      </w:r>
      <w:r w:rsidR="009255C4">
        <w:rPr>
          <w:rFonts w:ascii="Arial" w:eastAsia="MS Mincho" w:hAnsi="Arial" w:cs="Arial"/>
          <w:iCs/>
          <w:sz w:val="30"/>
          <w:szCs w:val="30"/>
        </w:rPr>
        <w:t xml:space="preserve">on </w:t>
      </w:r>
      <w:r w:rsidRPr="0042509E">
        <w:rPr>
          <w:rFonts w:ascii="Arial" w:eastAsia="MS Mincho" w:hAnsi="Arial" w:cs="Arial"/>
          <w:iCs/>
          <w:sz w:val="30"/>
          <w:szCs w:val="30"/>
        </w:rPr>
        <w:t xml:space="preserve">DRX </w:t>
      </w:r>
      <w:r w:rsidR="009255C4">
        <w:rPr>
          <w:rFonts w:ascii="Arial" w:eastAsia="MS Mincho" w:hAnsi="Arial" w:cs="Arial"/>
          <w:iCs/>
          <w:sz w:val="30"/>
          <w:szCs w:val="30"/>
        </w:rPr>
        <w:t>active time</w:t>
      </w:r>
    </w:p>
    <w:p w14:paraId="12066E14" w14:textId="77777777" w:rsidR="00A65D36" w:rsidRPr="0042509E" w:rsidRDefault="00A65D36" w:rsidP="00A65D36">
      <w:pPr>
        <w:spacing w:after="120"/>
        <w:jc w:val="both"/>
        <w:rPr>
          <w:rFonts w:ascii="Times New Roman" w:eastAsia="MS Mincho" w:hAnsi="Times New Roman"/>
          <w:szCs w:val="24"/>
        </w:rPr>
      </w:pPr>
      <w:r w:rsidRPr="0042509E">
        <w:rPr>
          <w:rFonts w:ascii="Times New Roman" w:eastAsia="MS Mincho" w:hAnsi="Times New Roman"/>
          <w:szCs w:val="24"/>
        </w:rPr>
        <w:t>In RAN2#123 meeting, we agreed that the early RACH procedure is considered as complete when the preamble transmission is performed[1].</w:t>
      </w:r>
    </w:p>
    <w:tbl>
      <w:tblPr>
        <w:tblStyle w:val="14"/>
        <w:tblW w:w="0" w:type="auto"/>
        <w:tblLook w:val="04A0" w:firstRow="1" w:lastRow="0" w:firstColumn="1" w:lastColumn="0" w:noHBand="0" w:noVBand="1"/>
      </w:tblPr>
      <w:tblGrid>
        <w:gridCol w:w="9060"/>
      </w:tblGrid>
      <w:tr w:rsidR="00A65D36" w:rsidRPr="0042509E" w14:paraId="3F42F366" w14:textId="77777777" w:rsidTr="009818DC">
        <w:tc>
          <w:tcPr>
            <w:tcW w:w="9628" w:type="dxa"/>
          </w:tcPr>
          <w:p w14:paraId="1BB9BAE0" w14:textId="77777777" w:rsidR="00A65D36" w:rsidRPr="0042509E" w:rsidRDefault="00A65D36" w:rsidP="009818DC">
            <w:pPr>
              <w:widowControl w:val="0"/>
              <w:numPr>
                <w:ilvl w:val="0"/>
                <w:numId w:val="1"/>
              </w:numPr>
              <w:tabs>
                <w:tab w:val="clear" w:pos="612"/>
                <w:tab w:val="num" w:pos="1619"/>
              </w:tabs>
              <w:spacing w:after="120"/>
              <w:ind w:left="641" w:hanging="357"/>
              <w:jc w:val="both"/>
              <w:rPr>
                <w:rFonts w:ascii="Times New Roman" w:eastAsia="MS Mincho" w:hAnsi="Times New Roman"/>
                <w:b/>
                <w:lang w:eastAsia="en-GB"/>
              </w:rPr>
            </w:pPr>
            <w:r w:rsidRPr="0042509E">
              <w:rPr>
                <w:rFonts w:ascii="Times New Roman" w:eastAsia="MS Mincho" w:hAnsi="Times New Roman"/>
                <w:b/>
                <w:lang w:eastAsia="en-GB"/>
              </w:rPr>
              <w:t>Confirm that the RACH procedure toward a candidate cell is considered as complete once the preamble transmission is instructed to the lower layer.</w:t>
            </w:r>
          </w:p>
        </w:tc>
      </w:tr>
    </w:tbl>
    <w:p w14:paraId="06806999" w14:textId="2E66B62B" w:rsidR="00A65D36" w:rsidRPr="0042509E" w:rsidRDefault="00A65D36" w:rsidP="00A65D36">
      <w:pPr>
        <w:widowControl w:val="0"/>
        <w:spacing w:after="120"/>
        <w:jc w:val="both"/>
        <w:rPr>
          <w:rFonts w:ascii="Times New Roman" w:eastAsia="等线" w:hAnsi="Times New Roman"/>
          <w:kern w:val="2"/>
        </w:rPr>
      </w:pPr>
      <w:r w:rsidRPr="0042509E">
        <w:rPr>
          <w:rFonts w:ascii="Times New Roman" w:eastAsia="等线" w:hAnsi="Times New Roman"/>
          <w:kern w:val="2"/>
        </w:rPr>
        <w:t xml:space="preserve">However, the network will likely send the PDCCH order for preamble re-transmission upon it detects the early RACH for TA acquisition is not successful. Since UE only monitors PDCCH in DRX active time </w:t>
      </w:r>
      <w:r w:rsidRPr="0042509E">
        <w:rPr>
          <w:rFonts w:ascii="Times New Roman" w:eastAsia="等线" w:hAnsi="Times New Roman" w:hint="eastAsia"/>
          <w:kern w:val="2"/>
        </w:rPr>
        <w:t>then</w:t>
      </w:r>
      <w:r w:rsidRPr="0042509E">
        <w:rPr>
          <w:rFonts w:ascii="Times New Roman" w:eastAsia="等线" w:hAnsi="Times New Roman"/>
          <w:kern w:val="2"/>
        </w:rPr>
        <w:t xml:space="preserve"> the PDCCH order with re-transmission </w:t>
      </w:r>
      <w:r w:rsidRPr="0042509E">
        <w:rPr>
          <w:rFonts w:ascii="Times New Roman" w:eastAsia="等线" w:hAnsi="Times New Roman" w:hint="eastAsia"/>
          <w:kern w:val="2"/>
        </w:rPr>
        <w:t>indication</w:t>
      </w:r>
      <w:r w:rsidRPr="0042509E">
        <w:rPr>
          <w:rFonts w:ascii="Times New Roman" w:eastAsia="等线" w:hAnsi="Times New Roman"/>
          <w:kern w:val="2"/>
        </w:rPr>
        <w:t xml:space="preserve"> may be delayed for a long time if UE </w:t>
      </w:r>
      <w:r w:rsidR="00AF0114">
        <w:rPr>
          <w:rFonts w:ascii="Times New Roman" w:eastAsia="等线" w:hAnsi="Times New Roman" w:hint="eastAsia"/>
          <w:kern w:val="2"/>
        </w:rPr>
        <w:t>enters</w:t>
      </w:r>
      <w:r w:rsidR="00AF0114">
        <w:rPr>
          <w:rFonts w:ascii="Times New Roman" w:eastAsia="等线" w:hAnsi="Times New Roman"/>
          <w:kern w:val="2"/>
        </w:rPr>
        <w:t xml:space="preserve"> </w:t>
      </w:r>
      <w:r w:rsidRPr="0042509E">
        <w:rPr>
          <w:rFonts w:ascii="Times New Roman" w:eastAsia="等线" w:hAnsi="Times New Roman"/>
          <w:kern w:val="2"/>
        </w:rPr>
        <w:t xml:space="preserve">the DRX </w:t>
      </w:r>
      <w:r w:rsidR="00AF0114">
        <w:rPr>
          <w:rFonts w:ascii="Times New Roman" w:eastAsia="等线" w:hAnsi="Times New Roman" w:hint="eastAsia"/>
          <w:kern w:val="2"/>
        </w:rPr>
        <w:t>non-</w:t>
      </w:r>
      <w:r w:rsidRPr="0042509E">
        <w:rPr>
          <w:rFonts w:ascii="Times New Roman" w:eastAsia="等线" w:hAnsi="Times New Roman"/>
          <w:kern w:val="2"/>
        </w:rPr>
        <w:t>active time</w:t>
      </w:r>
      <w:r w:rsidR="00A328E0">
        <w:rPr>
          <w:rFonts w:ascii="Times New Roman" w:eastAsia="等线" w:hAnsi="Times New Roman"/>
          <w:kern w:val="2"/>
        </w:rPr>
        <w:t xml:space="preserve"> </w:t>
      </w:r>
      <w:r w:rsidR="00AF0114">
        <w:rPr>
          <w:rFonts w:ascii="Times New Roman" w:eastAsia="等线" w:hAnsi="Times New Roman" w:hint="eastAsia"/>
          <w:kern w:val="2"/>
        </w:rPr>
        <w:t>after</w:t>
      </w:r>
      <w:r w:rsidR="00AF0114">
        <w:rPr>
          <w:rFonts w:ascii="Times New Roman" w:eastAsia="等线" w:hAnsi="Times New Roman"/>
          <w:kern w:val="2"/>
        </w:rPr>
        <w:t xml:space="preserve"> </w:t>
      </w:r>
      <w:r w:rsidRPr="0042509E">
        <w:rPr>
          <w:rFonts w:ascii="Times New Roman" w:eastAsia="等线" w:hAnsi="Times New Roman"/>
          <w:kern w:val="2"/>
        </w:rPr>
        <w:t xml:space="preserve">UE completes the last early RACH procedure. To solve the issue, the UE should keep monitoring </w:t>
      </w:r>
      <w:bookmarkStart w:id="8" w:name="OLE_LINK4"/>
      <w:r w:rsidRPr="0042509E">
        <w:rPr>
          <w:rFonts w:ascii="Times New Roman" w:eastAsia="等线" w:hAnsi="Times New Roman"/>
          <w:kern w:val="2"/>
        </w:rPr>
        <w:t xml:space="preserve">PDCCH </w:t>
      </w:r>
      <w:bookmarkEnd w:id="8"/>
      <w:r w:rsidRPr="0042509E">
        <w:rPr>
          <w:rFonts w:ascii="Times New Roman" w:eastAsia="等线" w:hAnsi="Times New Roman"/>
          <w:kern w:val="2"/>
        </w:rPr>
        <w:t xml:space="preserve">for a time duration </w:t>
      </w:r>
      <w:r w:rsidR="000F1BA9">
        <w:rPr>
          <w:rFonts w:ascii="Times New Roman" w:eastAsia="等线" w:hAnsi="Times New Roman" w:hint="eastAsia"/>
          <w:kern w:val="2"/>
        </w:rPr>
        <w:t>after</w:t>
      </w:r>
      <w:r w:rsidRPr="0042509E">
        <w:rPr>
          <w:rFonts w:ascii="Times New Roman" w:eastAsia="等线" w:hAnsi="Times New Roman"/>
          <w:kern w:val="2"/>
        </w:rPr>
        <w:t xml:space="preserve"> UE completes early RACH procedure for potential PDCCH </w:t>
      </w:r>
      <w:r w:rsidRPr="0042509E">
        <w:rPr>
          <w:rFonts w:ascii="Times New Roman" w:eastAsia="等线" w:hAnsi="Times New Roman" w:hint="eastAsia"/>
          <w:kern w:val="2"/>
        </w:rPr>
        <w:t>order</w:t>
      </w:r>
      <w:r w:rsidRPr="0042509E">
        <w:rPr>
          <w:rFonts w:ascii="Times New Roman" w:eastAsia="等线" w:hAnsi="Times New Roman"/>
          <w:kern w:val="2"/>
        </w:rPr>
        <w:t xml:space="preserve"> </w:t>
      </w:r>
      <w:r w:rsidRPr="0042509E">
        <w:rPr>
          <w:rFonts w:ascii="Times New Roman" w:eastAsia="等线" w:hAnsi="Times New Roman" w:hint="eastAsia"/>
          <w:kern w:val="2"/>
        </w:rPr>
        <w:t>triggering</w:t>
      </w:r>
      <w:r w:rsidRPr="0042509E">
        <w:rPr>
          <w:rFonts w:ascii="Times New Roman" w:eastAsia="等线" w:hAnsi="Times New Roman"/>
          <w:kern w:val="2"/>
        </w:rPr>
        <w:t xml:space="preserve"> re-transmission </w:t>
      </w:r>
      <w:r w:rsidRPr="0042509E">
        <w:rPr>
          <w:rFonts w:ascii="Times New Roman" w:eastAsia="等线" w:hAnsi="Times New Roman" w:hint="eastAsia"/>
          <w:kern w:val="2"/>
        </w:rPr>
        <w:t>of</w:t>
      </w:r>
      <w:r w:rsidRPr="0042509E">
        <w:rPr>
          <w:rFonts w:ascii="Times New Roman" w:eastAsia="等线" w:hAnsi="Times New Roman"/>
          <w:kern w:val="2"/>
        </w:rPr>
        <w:t xml:space="preserve"> early TA acquisition procedure. </w:t>
      </w:r>
    </w:p>
    <w:p w14:paraId="01782EE1" w14:textId="00EBED48" w:rsidR="00A65D36" w:rsidRPr="0042509E" w:rsidRDefault="00A65D36" w:rsidP="0042509E">
      <w:pPr>
        <w:spacing w:after="120"/>
        <w:jc w:val="both"/>
        <w:rPr>
          <w:rFonts w:ascii="Times New Roman" w:eastAsia="MS Mincho" w:hAnsi="Times New Roman"/>
          <w:b/>
          <w:lang w:val="en-GB" w:eastAsia="en-GB"/>
        </w:rPr>
      </w:pPr>
      <w:r w:rsidRPr="0042509E">
        <w:rPr>
          <w:rFonts w:ascii="Times New Roman" w:eastAsia="MS Mincho" w:hAnsi="Times New Roman"/>
          <w:b/>
          <w:lang w:val="en-GB" w:eastAsia="en-GB"/>
        </w:rPr>
        <w:t xml:space="preserve">Proposal </w:t>
      </w:r>
      <w:r>
        <w:rPr>
          <w:rFonts w:ascii="Times New Roman" w:eastAsia="MS Mincho" w:hAnsi="Times New Roman"/>
          <w:b/>
          <w:lang w:val="en-GB" w:eastAsia="en-GB"/>
        </w:rPr>
        <w:t>3</w:t>
      </w:r>
      <w:r w:rsidRPr="0042509E">
        <w:rPr>
          <w:rFonts w:ascii="Times New Roman" w:eastAsia="MS Mincho" w:hAnsi="Times New Roman"/>
          <w:b/>
          <w:lang w:val="en-GB" w:eastAsia="en-GB"/>
        </w:rPr>
        <w:t>: After the preamble transmission for early TA acquisition, UE should keep monitoring PDCCH for potential scheduling of preamble retransmission in a time window, i.e. UE should avoid entering DRX off during the time window.</w:t>
      </w:r>
    </w:p>
    <w:p w14:paraId="1F7F6ABC" w14:textId="3090B300" w:rsidR="0042509E" w:rsidRDefault="0042509E" w:rsidP="0042509E">
      <w:pPr>
        <w:keepNext/>
        <w:widowControl w:val="0"/>
        <w:numPr>
          <w:ilvl w:val="1"/>
          <w:numId w:val="3"/>
        </w:numPr>
        <w:tabs>
          <w:tab w:val="num" w:pos="567"/>
        </w:tabs>
        <w:spacing w:before="180" w:after="180"/>
        <w:jc w:val="both"/>
        <w:outlineLvl w:val="1"/>
        <w:rPr>
          <w:rFonts w:ascii="Arial" w:eastAsia="MS Mincho" w:hAnsi="Arial" w:cs="Arial"/>
          <w:iCs/>
          <w:sz w:val="30"/>
          <w:szCs w:val="30"/>
        </w:rPr>
      </w:pPr>
      <w:r w:rsidRPr="0042509E">
        <w:rPr>
          <w:rFonts w:ascii="Arial" w:eastAsia="MS Mincho" w:hAnsi="Arial" w:cs="Arial"/>
          <w:iCs/>
          <w:sz w:val="30"/>
          <w:szCs w:val="30"/>
        </w:rPr>
        <w:t>BWP</w:t>
      </w:r>
      <w:r w:rsidR="009255C4">
        <w:rPr>
          <w:rFonts w:ascii="Arial" w:eastAsia="MS Mincho" w:hAnsi="Arial" w:cs="Arial"/>
          <w:iCs/>
          <w:sz w:val="30"/>
          <w:szCs w:val="30"/>
        </w:rPr>
        <w:t xml:space="preserve"> switch </w:t>
      </w:r>
    </w:p>
    <w:p w14:paraId="267A95F9" w14:textId="131B9A95" w:rsidR="00504AAE" w:rsidRDefault="00027050" w:rsidP="00504AAE">
      <w:pPr>
        <w:widowControl w:val="0"/>
        <w:spacing w:after="120"/>
        <w:jc w:val="both"/>
        <w:rPr>
          <w:rFonts w:ascii="Times New Roman" w:eastAsia="等线" w:hAnsi="Times New Roman"/>
          <w:kern w:val="2"/>
        </w:rPr>
      </w:pPr>
      <w:r w:rsidRPr="00027050">
        <w:rPr>
          <w:rFonts w:ascii="Times New Roman" w:eastAsia="等线" w:hAnsi="Times New Roman"/>
          <w:kern w:val="2"/>
        </w:rPr>
        <w:t xml:space="preserve">According </w:t>
      </w:r>
      <w:r>
        <w:rPr>
          <w:rFonts w:ascii="Times New Roman" w:eastAsia="等线" w:hAnsi="Times New Roman"/>
          <w:kern w:val="2"/>
        </w:rPr>
        <w:t>to the RAN1 agreement in RAN1#114bis meeting and</w:t>
      </w:r>
      <w:r w:rsidR="007B1321">
        <w:rPr>
          <w:rFonts w:ascii="Times New Roman" w:eastAsia="等线" w:hAnsi="Times New Roman"/>
          <w:kern w:val="2"/>
        </w:rPr>
        <w:t xml:space="preserve"> </w:t>
      </w:r>
      <w:r>
        <w:rPr>
          <w:rFonts w:ascii="Times New Roman" w:eastAsia="等线" w:hAnsi="Times New Roman"/>
          <w:kern w:val="2"/>
        </w:rPr>
        <w:t>RRC running CR</w:t>
      </w:r>
      <w:r w:rsidR="007B1321">
        <w:rPr>
          <w:rFonts w:ascii="Times New Roman" w:eastAsia="等线" w:hAnsi="Times New Roman"/>
          <w:kern w:val="2"/>
        </w:rPr>
        <w:t xml:space="preserve"> f</w:t>
      </w:r>
      <w:r w:rsidR="009255C4">
        <w:rPr>
          <w:rFonts w:ascii="Times New Roman" w:eastAsia="等线" w:hAnsi="Times New Roman"/>
          <w:kern w:val="2"/>
        </w:rPr>
        <w:t>or</w:t>
      </w:r>
      <w:r w:rsidR="007B1321">
        <w:rPr>
          <w:rFonts w:ascii="Times New Roman" w:eastAsia="等线" w:hAnsi="Times New Roman"/>
          <w:kern w:val="2"/>
        </w:rPr>
        <w:t xml:space="preserve"> LTM[4]</w:t>
      </w:r>
      <w:r>
        <w:rPr>
          <w:rFonts w:ascii="Times New Roman" w:eastAsia="等线" w:hAnsi="Times New Roman"/>
          <w:kern w:val="2"/>
        </w:rPr>
        <w:t>, the</w:t>
      </w:r>
      <w:r w:rsidRPr="00027050">
        <w:t xml:space="preserve"> </w:t>
      </w:r>
      <w:r w:rsidRPr="00027050">
        <w:rPr>
          <w:rFonts w:ascii="Times New Roman" w:eastAsia="等线" w:hAnsi="Times New Roman"/>
          <w:kern w:val="2"/>
        </w:rPr>
        <w:t>configuration used to perform the early UL synchronization procedure</w:t>
      </w:r>
      <w:r>
        <w:rPr>
          <w:rFonts w:ascii="Times New Roman" w:eastAsia="等线" w:hAnsi="Times New Roman"/>
          <w:kern w:val="2"/>
        </w:rPr>
        <w:t xml:space="preserve"> will include the </w:t>
      </w:r>
      <w:r w:rsidR="007B1321">
        <w:rPr>
          <w:rFonts w:ascii="Times New Roman" w:eastAsia="等线" w:hAnsi="Times New Roman"/>
          <w:kern w:val="2"/>
        </w:rPr>
        <w:t>BWP</w:t>
      </w:r>
      <w:r w:rsidR="009255C4">
        <w:rPr>
          <w:rFonts w:ascii="Times New Roman" w:eastAsia="等线" w:hAnsi="Times New Roman"/>
          <w:kern w:val="2"/>
        </w:rPr>
        <w:t>-</w:t>
      </w:r>
      <w:r w:rsidR="007B1321">
        <w:rPr>
          <w:rFonts w:ascii="Times New Roman" w:eastAsia="等线" w:hAnsi="Times New Roman"/>
          <w:kern w:val="2"/>
        </w:rPr>
        <w:t>related parameters</w:t>
      </w:r>
      <w:r w:rsidR="009255C4">
        <w:rPr>
          <w:rFonts w:ascii="Times New Roman" w:eastAsia="等线" w:hAnsi="Times New Roman"/>
          <w:kern w:val="2"/>
        </w:rPr>
        <w:t xml:space="preserve"> for preamble transmission</w:t>
      </w:r>
      <w:r w:rsidR="007B1321">
        <w:rPr>
          <w:rFonts w:ascii="Times New Roman" w:eastAsia="等线" w:hAnsi="Times New Roman"/>
          <w:kern w:val="2"/>
        </w:rPr>
        <w:t>, hence there is an FFS [3]</w:t>
      </w:r>
      <w:r w:rsidR="009255C4">
        <w:rPr>
          <w:rFonts w:ascii="Times New Roman" w:eastAsia="等线" w:hAnsi="Times New Roman"/>
          <w:kern w:val="2"/>
        </w:rPr>
        <w:t xml:space="preserve"> on the impact to clarify the BWP to candidate cell for early RACH</w:t>
      </w:r>
      <w:r w:rsidR="007B1321">
        <w:rPr>
          <w:rFonts w:ascii="Times New Roman" w:eastAsia="等线" w:hAnsi="Times New Roman"/>
          <w:kern w:val="2"/>
        </w:rPr>
        <w:t>:</w:t>
      </w:r>
    </w:p>
    <w:p w14:paraId="36766A8D" w14:textId="77E2683B" w:rsidR="007B1321" w:rsidRDefault="007B1321" w:rsidP="00504AAE">
      <w:pPr>
        <w:widowControl w:val="0"/>
        <w:spacing w:after="120"/>
        <w:jc w:val="both"/>
        <w:rPr>
          <w:rFonts w:ascii="Times New Roman" w:eastAsia="PMingLiU" w:hAnsi="Times New Roman"/>
          <w:i/>
          <w:iCs/>
          <w:lang w:val="en-GB" w:eastAsia="zh-TW"/>
        </w:rPr>
      </w:pPr>
      <w:r w:rsidRPr="0042509E">
        <w:rPr>
          <w:rFonts w:ascii="Times New Roman" w:eastAsia="PMingLiU" w:hAnsi="Times New Roman" w:hint="eastAsia"/>
          <w:i/>
          <w:iCs/>
          <w:lang w:val="en-GB" w:eastAsia="zh-TW"/>
        </w:rPr>
        <w:t>E</w:t>
      </w:r>
      <w:r w:rsidRPr="0042509E">
        <w:rPr>
          <w:rFonts w:ascii="Times New Roman" w:eastAsia="PMingLiU" w:hAnsi="Times New Roman"/>
          <w:i/>
          <w:iCs/>
          <w:lang w:val="en-GB" w:eastAsia="zh-TW"/>
        </w:rPr>
        <w:t>ditor’s note: FFS any impact to clarify the BWP on candidate cell for PDCCH-order based PRACH for candidate cell (somehow pending on the RRC configuration design).</w:t>
      </w:r>
    </w:p>
    <w:p w14:paraId="5C4C28D1" w14:textId="1E121403" w:rsidR="00164FB3" w:rsidRDefault="007B1321" w:rsidP="00504AAE">
      <w:pPr>
        <w:widowControl w:val="0"/>
        <w:spacing w:after="120"/>
        <w:jc w:val="both"/>
        <w:rPr>
          <w:rFonts w:ascii="Times New Roman" w:eastAsia="PMingLiU" w:hAnsi="Times New Roman"/>
          <w:lang w:val="en-GB" w:eastAsia="zh-TW"/>
        </w:rPr>
      </w:pPr>
      <w:r>
        <w:rPr>
          <w:rFonts w:ascii="Times New Roman" w:eastAsia="PMingLiU" w:hAnsi="Times New Roman"/>
          <w:lang w:val="en-GB" w:eastAsia="zh-TW"/>
        </w:rPr>
        <w:t xml:space="preserve">In our understanding, </w:t>
      </w:r>
      <w:r w:rsidR="009255C4">
        <w:rPr>
          <w:rFonts w:ascii="Times New Roman" w:eastAsia="PMingLiU" w:hAnsi="Times New Roman"/>
          <w:lang w:val="en-GB" w:eastAsia="zh-TW"/>
        </w:rPr>
        <w:t xml:space="preserve">the BWP switching could only occur within the serving cells. Hence, when UE performs the early RACH to a candidate cell, the active UL BWP will not be </w:t>
      </w:r>
      <w:r w:rsidR="00164FB3">
        <w:rPr>
          <w:rFonts w:ascii="Times New Roman" w:eastAsia="PMingLiU" w:hAnsi="Times New Roman"/>
          <w:lang w:val="en-GB" w:eastAsia="zh-TW"/>
        </w:rPr>
        <w:t xml:space="preserve">switched. </w:t>
      </w:r>
    </w:p>
    <w:p w14:paraId="567EFE35" w14:textId="38C939F4" w:rsidR="00164FB3" w:rsidRDefault="00164FB3" w:rsidP="00504AAE">
      <w:pPr>
        <w:widowControl w:val="0"/>
        <w:spacing w:after="120"/>
        <w:jc w:val="both"/>
        <w:rPr>
          <w:rFonts w:ascii="Times New Roman" w:eastAsia="PMingLiU" w:hAnsi="Times New Roman"/>
          <w:lang w:val="en-GB" w:eastAsia="zh-TW"/>
        </w:rPr>
      </w:pPr>
      <w:r>
        <w:rPr>
          <w:rFonts w:ascii="Times New Roman" w:eastAsia="PMingLiU" w:hAnsi="Times New Roman"/>
          <w:lang w:val="en-GB" w:eastAsia="zh-TW"/>
        </w:rPr>
        <w:t>Besides, for early RACH procedure, UE will stop the UL transmission of serving cell and starts PRACH transmission to neighbour cell. After the PRACH transmission to neighbour cell, UE will retune its RF back to BWP of serving cell. In this case, t</w:t>
      </w:r>
      <w:r>
        <w:rPr>
          <w:rFonts w:ascii="Times New Roman" w:eastAsia="PMingLiU" w:hAnsi="Times New Roman"/>
          <w:lang w:val="en-GB" w:eastAsia="zh-TW"/>
        </w:rPr>
        <w:t xml:space="preserve">he BWP configuration for candidate cell is used for UE to determine the frequency location or some RF related parameters for preamble </w:t>
      </w:r>
      <w:r w:rsidRPr="00C448A4">
        <w:rPr>
          <w:rFonts w:ascii="Times New Roman" w:eastAsia="PMingLiU" w:hAnsi="Times New Roman"/>
          <w:lang w:val="en-GB" w:eastAsia="zh-TW"/>
        </w:rPr>
        <w:t>transmission</w:t>
      </w:r>
      <w:r>
        <w:rPr>
          <w:rFonts w:ascii="Times New Roman" w:eastAsia="PMingLiU" w:hAnsi="Times New Roman"/>
          <w:lang w:val="en-GB" w:eastAsia="zh-TW"/>
        </w:rPr>
        <w:t>.</w:t>
      </w:r>
      <w:r>
        <w:rPr>
          <w:rFonts w:ascii="Times New Roman" w:eastAsia="PMingLiU" w:hAnsi="Times New Roman"/>
          <w:lang w:val="en-GB" w:eastAsia="zh-TW"/>
        </w:rPr>
        <w:t xml:space="preserve"> Since the retuning is only for PRACH transmission, there is no need to have additional impact on activate BWP of serving cell.</w:t>
      </w:r>
    </w:p>
    <w:p w14:paraId="4BB80BB5" w14:textId="235FA535" w:rsidR="00705035" w:rsidRDefault="009255C4" w:rsidP="009255C4">
      <w:pPr>
        <w:spacing w:after="120"/>
        <w:jc w:val="both"/>
        <w:rPr>
          <w:rFonts w:ascii="Times New Roman" w:eastAsia="MS Mincho" w:hAnsi="Times New Roman"/>
          <w:b/>
          <w:lang w:val="en-GB" w:eastAsia="en-GB"/>
        </w:rPr>
      </w:pPr>
      <w:r w:rsidRPr="009255C4">
        <w:rPr>
          <w:rFonts w:ascii="Times New Roman" w:eastAsia="MS Mincho" w:hAnsi="Times New Roman"/>
          <w:b/>
          <w:lang w:val="en-GB" w:eastAsia="en-GB"/>
        </w:rPr>
        <w:t>Pr</w:t>
      </w:r>
      <w:r>
        <w:rPr>
          <w:rFonts w:ascii="Times New Roman" w:eastAsia="MS Mincho" w:hAnsi="Times New Roman"/>
          <w:b/>
          <w:lang w:val="en-GB" w:eastAsia="en-GB"/>
        </w:rPr>
        <w:t>o</w:t>
      </w:r>
      <w:r w:rsidRPr="009255C4">
        <w:rPr>
          <w:rFonts w:ascii="Times New Roman" w:eastAsia="MS Mincho" w:hAnsi="Times New Roman"/>
          <w:b/>
          <w:lang w:val="en-GB" w:eastAsia="en-GB"/>
        </w:rPr>
        <w:t>posal</w:t>
      </w:r>
      <w:r>
        <w:rPr>
          <w:rFonts w:ascii="Times New Roman" w:eastAsia="MS Mincho" w:hAnsi="Times New Roman"/>
          <w:b/>
          <w:lang w:val="en-GB" w:eastAsia="en-GB"/>
        </w:rPr>
        <w:t xml:space="preserve"> 4</w:t>
      </w:r>
      <w:r w:rsidRPr="009255C4">
        <w:rPr>
          <w:rFonts w:ascii="Times New Roman" w:eastAsia="MS Mincho" w:hAnsi="Times New Roman"/>
          <w:b/>
          <w:lang w:val="en-GB" w:eastAsia="en-GB"/>
        </w:rPr>
        <w:t>:</w:t>
      </w:r>
      <w:r>
        <w:rPr>
          <w:rFonts w:ascii="Times New Roman" w:eastAsia="MS Mincho" w:hAnsi="Times New Roman"/>
          <w:b/>
          <w:lang w:val="en-GB" w:eastAsia="en-GB"/>
        </w:rPr>
        <w:t xml:space="preserve"> Early </w:t>
      </w:r>
      <w:r w:rsidR="000F1BA9">
        <w:rPr>
          <w:rFonts w:ascii="Times New Roman" w:eastAsia="MS Mincho" w:hAnsi="Times New Roman"/>
          <w:b/>
          <w:lang w:val="en-GB" w:eastAsia="en-GB"/>
        </w:rPr>
        <w:t xml:space="preserve">TA </w:t>
      </w:r>
      <w:r w:rsidR="000F1BA9" w:rsidRPr="00C448A4">
        <w:rPr>
          <w:rFonts w:ascii="Times New Roman" w:eastAsia="MS Mincho" w:hAnsi="Times New Roman"/>
          <w:b/>
          <w:lang w:val="en-GB" w:eastAsia="en-GB"/>
        </w:rPr>
        <w:t>acquisition</w:t>
      </w:r>
      <w:r w:rsidR="000F1BA9">
        <w:rPr>
          <w:rFonts w:ascii="Times New Roman" w:eastAsia="MS Mincho" w:hAnsi="Times New Roman"/>
          <w:b/>
          <w:lang w:val="en-GB" w:eastAsia="en-GB"/>
        </w:rPr>
        <w:t xml:space="preserve"> </w:t>
      </w:r>
      <w:r>
        <w:rPr>
          <w:rFonts w:ascii="Times New Roman" w:eastAsia="MS Mincho" w:hAnsi="Times New Roman"/>
          <w:b/>
          <w:lang w:val="en-GB" w:eastAsia="en-GB"/>
        </w:rPr>
        <w:t xml:space="preserve">procedure </w:t>
      </w:r>
      <w:r w:rsidR="000F1BA9" w:rsidRPr="00C448A4">
        <w:rPr>
          <w:rFonts w:ascii="Times New Roman" w:eastAsia="MS Mincho" w:hAnsi="Times New Roman"/>
          <w:b/>
          <w:lang w:val="en-GB" w:eastAsia="en-GB"/>
        </w:rPr>
        <w:t>has</w:t>
      </w:r>
      <w:r w:rsidR="000F1BA9">
        <w:rPr>
          <w:rFonts w:ascii="Times New Roman" w:eastAsia="MS Mincho" w:hAnsi="Times New Roman"/>
          <w:b/>
          <w:lang w:val="en-GB" w:eastAsia="en-GB"/>
        </w:rPr>
        <w:t xml:space="preserve"> </w:t>
      </w:r>
      <w:r w:rsidR="000F1BA9" w:rsidRPr="00C448A4">
        <w:rPr>
          <w:rFonts w:ascii="Times New Roman" w:eastAsia="MS Mincho" w:hAnsi="Times New Roman"/>
          <w:b/>
          <w:lang w:val="en-GB" w:eastAsia="en-GB"/>
        </w:rPr>
        <w:t>no</w:t>
      </w:r>
      <w:r w:rsidR="000F1BA9">
        <w:rPr>
          <w:rFonts w:ascii="Times New Roman" w:eastAsia="MS Mincho" w:hAnsi="Times New Roman"/>
          <w:b/>
          <w:lang w:val="en-GB" w:eastAsia="en-GB"/>
        </w:rPr>
        <w:t xml:space="preserve"> </w:t>
      </w:r>
      <w:r w:rsidR="000F1BA9" w:rsidRPr="00C448A4">
        <w:rPr>
          <w:rFonts w:ascii="Times New Roman" w:eastAsia="MS Mincho" w:hAnsi="Times New Roman"/>
          <w:b/>
          <w:lang w:val="en-GB" w:eastAsia="en-GB"/>
        </w:rPr>
        <w:t>impact</w:t>
      </w:r>
      <w:r w:rsidR="000F1BA9">
        <w:rPr>
          <w:rFonts w:ascii="Times New Roman" w:eastAsia="MS Mincho" w:hAnsi="Times New Roman"/>
          <w:b/>
          <w:lang w:val="en-GB" w:eastAsia="en-GB"/>
        </w:rPr>
        <w:t xml:space="preserve"> </w:t>
      </w:r>
      <w:r w:rsidR="000F1BA9" w:rsidRPr="00C448A4">
        <w:rPr>
          <w:rFonts w:ascii="Times New Roman" w:eastAsia="MS Mincho" w:hAnsi="Times New Roman"/>
          <w:b/>
          <w:lang w:val="en-GB" w:eastAsia="en-GB"/>
        </w:rPr>
        <w:t>to</w:t>
      </w:r>
      <w:r w:rsidR="000F1BA9">
        <w:rPr>
          <w:rFonts w:ascii="Times New Roman" w:eastAsia="MS Mincho" w:hAnsi="Times New Roman"/>
          <w:b/>
          <w:lang w:val="en-GB" w:eastAsia="en-GB"/>
        </w:rPr>
        <w:t xml:space="preserve"> </w:t>
      </w:r>
      <w:r w:rsidR="000F1BA9" w:rsidRPr="00C448A4">
        <w:rPr>
          <w:rFonts w:ascii="Times New Roman" w:eastAsia="MS Mincho" w:hAnsi="Times New Roman"/>
          <w:b/>
          <w:lang w:val="en-GB" w:eastAsia="en-GB"/>
        </w:rPr>
        <w:t>BWP operation,</w:t>
      </w:r>
      <w:r w:rsidR="000F1BA9" w:rsidDel="000F1BA9">
        <w:rPr>
          <w:rFonts w:ascii="Times New Roman" w:eastAsia="MS Mincho" w:hAnsi="Times New Roman"/>
          <w:b/>
          <w:lang w:val="en-GB" w:eastAsia="en-GB"/>
        </w:rPr>
        <w:t xml:space="preserve"> </w:t>
      </w:r>
      <w:proofErr w:type="gramStart"/>
      <w:r w:rsidR="000F1BA9" w:rsidRPr="0088176E">
        <w:rPr>
          <w:rFonts w:ascii="Times New Roman" w:eastAsia="MS Mincho" w:hAnsi="Times New Roman" w:hint="eastAsia"/>
          <w:b/>
          <w:lang w:val="en-GB" w:eastAsia="en-GB"/>
        </w:rPr>
        <w:t>e.g.</w:t>
      </w:r>
      <w:proofErr w:type="gramEnd"/>
      <w:r w:rsidR="000F1BA9">
        <w:rPr>
          <w:rFonts w:ascii="Times New Roman" w:eastAsia="MS Mincho" w:hAnsi="Times New Roman"/>
          <w:b/>
          <w:lang w:val="en-GB" w:eastAsia="en-GB"/>
        </w:rPr>
        <w:t xml:space="preserve"> </w:t>
      </w:r>
      <w:r>
        <w:rPr>
          <w:rFonts w:ascii="Times New Roman" w:eastAsia="MS Mincho" w:hAnsi="Times New Roman"/>
          <w:b/>
          <w:lang w:val="en-GB" w:eastAsia="en-GB"/>
        </w:rPr>
        <w:t>will not trigger active UL BWP switch.</w:t>
      </w:r>
    </w:p>
    <w:bookmarkEnd w:id="4"/>
    <w:bookmarkEnd w:id="7"/>
    <w:p w14:paraId="0A78D762" w14:textId="7EF75B01" w:rsidR="00C7234D" w:rsidRPr="004F09A4" w:rsidRDefault="009279BF" w:rsidP="002E7A4A">
      <w:pPr>
        <w:widowControl w:val="0"/>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5BCC8865" w14:textId="71E888DD" w:rsidR="00C7234D" w:rsidRDefault="009279BF" w:rsidP="002D44EB">
      <w:pPr>
        <w:spacing w:after="120"/>
        <w:jc w:val="both"/>
        <w:rPr>
          <w:rFonts w:ascii="Times New Roman" w:eastAsia="宋体" w:hAnsi="Times New Roman"/>
          <w:szCs w:val="24"/>
        </w:rPr>
      </w:pPr>
      <w:r>
        <w:rPr>
          <w:rFonts w:ascii="Times New Roman" w:eastAsia="宋体" w:hAnsi="Times New Roman"/>
          <w:szCs w:val="24"/>
        </w:rPr>
        <w:t xml:space="preserve">In this contribution, we </w:t>
      </w:r>
      <w:r>
        <w:rPr>
          <w:rFonts w:ascii="Times New Roman" w:eastAsia="Times New Roman" w:hAnsi="Times New Roman"/>
          <w:szCs w:val="24"/>
        </w:rPr>
        <w:t xml:space="preserve">provide our view on some issues related to </w:t>
      </w:r>
      <w:r w:rsidR="009255C4">
        <w:rPr>
          <w:rFonts w:ascii="Times New Roman" w:eastAsia="Times New Roman" w:hAnsi="Times New Roman"/>
          <w:szCs w:val="24"/>
        </w:rPr>
        <w:t>early TA acquisition</w:t>
      </w:r>
      <w:r>
        <w:rPr>
          <w:rFonts w:ascii="Times New Roman" w:eastAsia="Times New Roman" w:hAnsi="Times New Roman"/>
          <w:szCs w:val="24"/>
        </w:rPr>
        <w:t>.</w:t>
      </w:r>
      <w:r>
        <w:rPr>
          <w:rFonts w:ascii="Times New Roman" w:eastAsia="宋体" w:hAnsi="Times New Roman"/>
          <w:szCs w:val="24"/>
        </w:rPr>
        <w:t xml:space="preserve"> We have the following observations and proposals:</w:t>
      </w:r>
    </w:p>
    <w:p w14:paraId="70EA1AAD" w14:textId="77777777" w:rsidR="00DC594F" w:rsidRDefault="00DC594F" w:rsidP="00DC594F">
      <w:pPr>
        <w:spacing w:after="120"/>
        <w:jc w:val="both"/>
        <w:rPr>
          <w:rFonts w:ascii="Times New Roman" w:eastAsia="MS Mincho" w:hAnsi="Times New Roman"/>
          <w:b/>
          <w:lang w:val="en-GB" w:eastAsia="en-GB"/>
        </w:rPr>
      </w:pPr>
      <w:r w:rsidRPr="0042509E">
        <w:rPr>
          <w:rFonts w:ascii="Times New Roman" w:eastAsia="MS Mincho" w:hAnsi="Times New Roman"/>
          <w:b/>
          <w:lang w:val="en-GB" w:eastAsia="en-GB"/>
        </w:rPr>
        <w:t xml:space="preserve">Proposal </w:t>
      </w:r>
      <w:r>
        <w:rPr>
          <w:rFonts w:ascii="Times New Roman" w:eastAsia="MS Mincho" w:hAnsi="Times New Roman"/>
          <w:b/>
          <w:lang w:val="en-GB" w:eastAsia="en-GB"/>
        </w:rPr>
        <w:t>1</w:t>
      </w:r>
      <w:r w:rsidRPr="0042509E">
        <w:rPr>
          <w:rFonts w:ascii="Times New Roman" w:eastAsia="MS Mincho" w:hAnsi="Times New Roman"/>
          <w:b/>
          <w:lang w:val="en-GB" w:eastAsia="en-GB"/>
        </w:rPr>
        <w:t>: Upon the initiation of an early RACH triggered by PDCCH order (no matter initial transmission or retransmission is indicate</w:t>
      </w:r>
      <w:r w:rsidRPr="000F1BA9">
        <w:rPr>
          <w:rFonts w:ascii="Times New Roman" w:eastAsia="MS Mincho" w:hAnsi="Times New Roman"/>
          <w:b/>
          <w:lang w:val="en-GB" w:eastAsia="en-GB"/>
        </w:rPr>
        <w:t xml:space="preserve">d), </w:t>
      </w:r>
      <w:r w:rsidRPr="00DC594F">
        <w:rPr>
          <w:b/>
          <w:i/>
          <w:lang w:eastAsia="ko-KR"/>
        </w:rPr>
        <w:t>PREAMBLE_POWER_RAMPING_COUNTER</w:t>
      </w:r>
      <w:r w:rsidRPr="000F1BA9">
        <w:rPr>
          <w:rFonts w:ascii="Times New Roman" w:eastAsia="MS Mincho" w:hAnsi="Times New Roman"/>
          <w:b/>
          <w:lang w:val="en-GB" w:eastAsia="en-GB"/>
        </w:rPr>
        <w:t xml:space="preserve"> should be re</w:t>
      </w:r>
      <w:r w:rsidRPr="0042509E">
        <w:rPr>
          <w:rFonts w:ascii="Times New Roman" w:eastAsia="MS Mincho" w:hAnsi="Times New Roman"/>
          <w:b/>
          <w:lang w:val="en-GB" w:eastAsia="en-GB"/>
        </w:rPr>
        <w:t xml:space="preserve">set </w:t>
      </w:r>
      <w:r>
        <w:rPr>
          <w:rFonts w:ascii="Times New Roman" w:eastAsia="MS Mincho" w:hAnsi="Times New Roman"/>
          <w:b/>
          <w:lang w:val="en-GB" w:eastAsia="en-GB"/>
        </w:rPr>
        <w:t xml:space="preserve">to 1 </w:t>
      </w:r>
      <w:r w:rsidRPr="0042509E">
        <w:rPr>
          <w:rFonts w:ascii="Times New Roman" w:eastAsia="MS Mincho" w:hAnsi="Times New Roman"/>
          <w:b/>
          <w:lang w:val="en-GB" w:eastAsia="en-GB"/>
        </w:rPr>
        <w:t>if the last performed RACH is toward current serving cell.</w:t>
      </w:r>
    </w:p>
    <w:p w14:paraId="2943D0E0" w14:textId="77777777" w:rsidR="00DC594F" w:rsidRPr="008F44ED" w:rsidRDefault="00DC594F" w:rsidP="00DC594F">
      <w:pPr>
        <w:spacing w:after="120"/>
        <w:jc w:val="both"/>
        <w:rPr>
          <w:rFonts w:ascii="Times New Roman" w:eastAsia="宋体" w:hAnsi="Times New Roman"/>
          <w:b/>
          <w:bCs/>
          <w:lang w:eastAsia="en-US"/>
        </w:rPr>
      </w:pPr>
      <w:r w:rsidRPr="0042509E">
        <w:rPr>
          <w:rFonts w:ascii="Times New Roman" w:eastAsia="宋体" w:hAnsi="Times New Roman"/>
          <w:b/>
          <w:bCs/>
          <w:lang w:eastAsia="en-US"/>
        </w:rPr>
        <w:t xml:space="preserve">Proposal </w:t>
      </w:r>
      <w:r>
        <w:rPr>
          <w:rFonts w:ascii="Times New Roman" w:eastAsia="宋体" w:hAnsi="Times New Roman"/>
          <w:b/>
          <w:bCs/>
          <w:lang w:eastAsia="en-US"/>
        </w:rPr>
        <w:t>2</w:t>
      </w:r>
      <w:r w:rsidRPr="0042509E">
        <w:rPr>
          <w:rFonts w:ascii="Times New Roman" w:eastAsia="宋体" w:hAnsi="Times New Roman" w:hint="eastAsia"/>
          <w:b/>
          <w:bCs/>
        </w:rPr>
        <w:t>:</w:t>
      </w:r>
      <w:r w:rsidRPr="0042509E">
        <w:rPr>
          <w:rFonts w:ascii="Times New Roman" w:eastAsia="宋体" w:hAnsi="Times New Roman"/>
          <w:b/>
          <w:bCs/>
        </w:rPr>
        <w:t xml:space="preserve"> </w:t>
      </w:r>
      <w:r w:rsidRPr="000F1BA9">
        <w:rPr>
          <w:rFonts w:ascii="Times New Roman" w:eastAsia="MS Mincho" w:hAnsi="Times New Roman"/>
          <w:b/>
          <w:lang w:val="en-GB" w:eastAsia="en-GB"/>
        </w:rPr>
        <w:t xml:space="preserve">If the </w:t>
      </w:r>
      <w:r w:rsidRPr="000F1BA9">
        <w:rPr>
          <w:rFonts w:ascii="Times New Roman" w:eastAsia="宋体" w:hAnsi="Times New Roman"/>
          <w:b/>
          <w:bCs/>
          <w:lang w:eastAsia="en-US"/>
        </w:rPr>
        <w:t xml:space="preserve">last early RACH fails due to the LBT failure, UE transmits the preamble without </w:t>
      </w:r>
      <w:r w:rsidRPr="000F1BA9">
        <w:rPr>
          <w:rFonts w:ascii="Times New Roman" w:eastAsia="宋体" w:hAnsi="Times New Roman"/>
          <w:b/>
          <w:bCs/>
        </w:rPr>
        <w:t>increasing</w:t>
      </w:r>
      <w:r w:rsidRPr="000F1BA9">
        <w:rPr>
          <w:rFonts w:ascii="Times New Roman" w:eastAsia="宋体" w:hAnsi="Times New Roman"/>
          <w:b/>
          <w:bCs/>
          <w:lang w:eastAsia="en-US"/>
        </w:rPr>
        <w:t xml:space="preserve"> </w:t>
      </w:r>
      <w:r w:rsidRPr="008F44ED">
        <w:rPr>
          <w:rFonts w:ascii="Times New Roman" w:eastAsia="宋体" w:hAnsi="Times New Roman"/>
          <w:b/>
          <w:bCs/>
        </w:rPr>
        <w:t>the</w:t>
      </w:r>
      <w:r w:rsidRPr="008F44ED">
        <w:rPr>
          <w:rFonts w:ascii="Times New Roman" w:eastAsia="宋体" w:hAnsi="Times New Roman"/>
          <w:b/>
          <w:bCs/>
          <w:lang w:eastAsia="en-US"/>
        </w:rPr>
        <w:t xml:space="preserve"> </w:t>
      </w:r>
      <w:r w:rsidRPr="00DC594F">
        <w:rPr>
          <w:b/>
          <w:i/>
          <w:lang w:eastAsia="ko-KR"/>
        </w:rPr>
        <w:t>PREAMBLE_POWER_RAMPING_COUNTER</w:t>
      </w:r>
      <w:r w:rsidRPr="000F1BA9" w:rsidDel="008F44ED">
        <w:rPr>
          <w:rFonts w:ascii="Times New Roman" w:eastAsia="宋体" w:hAnsi="Times New Roman"/>
          <w:b/>
          <w:bCs/>
          <w:lang w:eastAsia="en-US"/>
        </w:rPr>
        <w:t xml:space="preserve"> </w:t>
      </w:r>
      <w:r w:rsidRPr="000F1BA9">
        <w:rPr>
          <w:rFonts w:ascii="Times New Roman" w:eastAsia="宋体" w:hAnsi="Times New Roman"/>
          <w:b/>
          <w:bCs/>
          <w:lang w:eastAsia="en-US"/>
        </w:rPr>
        <w:t>upon reception of PDCCH order with retransmission indication.</w:t>
      </w:r>
    </w:p>
    <w:p w14:paraId="6FA62972" w14:textId="77777777" w:rsidR="00DC594F" w:rsidRPr="0042509E" w:rsidRDefault="00DC594F" w:rsidP="00DC594F">
      <w:pPr>
        <w:spacing w:after="120"/>
        <w:jc w:val="both"/>
        <w:rPr>
          <w:rFonts w:ascii="Times New Roman" w:eastAsia="MS Mincho" w:hAnsi="Times New Roman"/>
          <w:b/>
          <w:lang w:val="en-GB" w:eastAsia="en-GB"/>
        </w:rPr>
      </w:pPr>
      <w:r w:rsidRPr="0042509E">
        <w:rPr>
          <w:rFonts w:ascii="Times New Roman" w:eastAsia="MS Mincho" w:hAnsi="Times New Roman"/>
          <w:b/>
          <w:lang w:val="en-GB" w:eastAsia="en-GB"/>
        </w:rPr>
        <w:t xml:space="preserve">Proposal </w:t>
      </w:r>
      <w:r>
        <w:rPr>
          <w:rFonts w:ascii="Times New Roman" w:eastAsia="MS Mincho" w:hAnsi="Times New Roman"/>
          <w:b/>
          <w:lang w:val="en-GB" w:eastAsia="en-GB"/>
        </w:rPr>
        <w:t>3</w:t>
      </w:r>
      <w:r w:rsidRPr="0042509E">
        <w:rPr>
          <w:rFonts w:ascii="Times New Roman" w:eastAsia="MS Mincho" w:hAnsi="Times New Roman"/>
          <w:b/>
          <w:lang w:val="en-GB" w:eastAsia="en-GB"/>
        </w:rPr>
        <w:t>: After the preamble transmission for early TA acquisition, UE should keep monitoring PDCCH for potential scheduling of preamble retransmission in a time window, i.e. UE should avoid entering DRX off during the time window.</w:t>
      </w:r>
    </w:p>
    <w:p w14:paraId="5C9E6ABB" w14:textId="77777777" w:rsidR="00DC594F" w:rsidRDefault="00DC594F" w:rsidP="00DC594F">
      <w:pPr>
        <w:spacing w:after="120"/>
        <w:jc w:val="both"/>
        <w:rPr>
          <w:rFonts w:ascii="Times New Roman" w:eastAsia="MS Mincho" w:hAnsi="Times New Roman"/>
          <w:b/>
          <w:lang w:val="en-GB" w:eastAsia="en-GB"/>
        </w:rPr>
      </w:pPr>
      <w:r w:rsidRPr="009255C4">
        <w:rPr>
          <w:rFonts w:ascii="Times New Roman" w:eastAsia="MS Mincho" w:hAnsi="Times New Roman"/>
          <w:b/>
          <w:lang w:val="en-GB" w:eastAsia="en-GB"/>
        </w:rPr>
        <w:t>Pr</w:t>
      </w:r>
      <w:r>
        <w:rPr>
          <w:rFonts w:ascii="Times New Roman" w:eastAsia="MS Mincho" w:hAnsi="Times New Roman"/>
          <w:b/>
          <w:lang w:val="en-GB" w:eastAsia="en-GB"/>
        </w:rPr>
        <w:t>o</w:t>
      </w:r>
      <w:r w:rsidRPr="009255C4">
        <w:rPr>
          <w:rFonts w:ascii="Times New Roman" w:eastAsia="MS Mincho" w:hAnsi="Times New Roman"/>
          <w:b/>
          <w:lang w:val="en-GB" w:eastAsia="en-GB"/>
        </w:rPr>
        <w:t>posal</w:t>
      </w:r>
      <w:r>
        <w:rPr>
          <w:rFonts w:ascii="Times New Roman" w:eastAsia="MS Mincho" w:hAnsi="Times New Roman"/>
          <w:b/>
          <w:lang w:val="en-GB" w:eastAsia="en-GB"/>
        </w:rPr>
        <w:t xml:space="preserve"> 4</w:t>
      </w:r>
      <w:r w:rsidRPr="009255C4">
        <w:rPr>
          <w:rFonts w:ascii="Times New Roman" w:eastAsia="MS Mincho" w:hAnsi="Times New Roman"/>
          <w:b/>
          <w:lang w:val="en-GB" w:eastAsia="en-GB"/>
        </w:rPr>
        <w:t>:</w:t>
      </w:r>
      <w:r>
        <w:rPr>
          <w:rFonts w:ascii="Times New Roman" w:eastAsia="MS Mincho" w:hAnsi="Times New Roman"/>
          <w:b/>
          <w:lang w:val="en-GB" w:eastAsia="en-GB"/>
        </w:rPr>
        <w:t xml:space="preserve"> Early TA </w:t>
      </w:r>
      <w:r w:rsidRPr="00C448A4">
        <w:rPr>
          <w:rFonts w:ascii="Times New Roman" w:eastAsia="MS Mincho" w:hAnsi="Times New Roman"/>
          <w:b/>
          <w:lang w:val="en-GB" w:eastAsia="en-GB"/>
        </w:rPr>
        <w:t>acquisition</w:t>
      </w:r>
      <w:r>
        <w:rPr>
          <w:rFonts w:ascii="Times New Roman" w:eastAsia="MS Mincho" w:hAnsi="Times New Roman"/>
          <w:b/>
          <w:lang w:val="en-GB" w:eastAsia="en-GB"/>
        </w:rPr>
        <w:t xml:space="preserve"> procedure </w:t>
      </w:r>
      <w:r w:rsidRPr="00C448A4">
        <w:rPr>
          <w:rFonts w:ascii="Times New Roman" w:eastAsia="MS Mincho" w:hAnsi="Times New Roman"/>
          <w:b/>
          <w:lang w:val="en-GB" w:eastAsia="en-GB"/>
        </w:rPr>
        <w:t>has</w:t>
      </w:r>
      <w:r>
        <w:rPr>
          <w:rFonts w:ascii="Times New Roman" w:eastAsia="MS Mincho" w:hAnsi="Times New Roman"/>
          <w:b/>
          <w:lang w:val="en-GB" w:eastAsia="en-GB"/>
        </w:rPr>
        <w:t xml:space="preserve"> </w:t>
      </w:r>
      <w:r w:rsidRPr="00C448A4">
        <w:rPr>
          <w:rFonts w:ascii="Times New Roman" w:eastAsia="MS Mincho" w:hAnsi="Times New Roman"/>
          <w:b/>
          <w:lang w:val="en-GB" w:eastAsia="en-GB"/>
        </w:rPr>
        <w:t>no</w:t>
      </w:r>
      <w:r>
        <w:rPr>
          <w:rFonts w:ascii="Times New Roman" w:eastAsia="MS Mincho" w:hAnsi="Times New Roman"/>
          <w:b/>
          <w:lang w:val="en-GB" w:eastAsia="en-GB"/>
        </w:rPr>
        <w:t xml:space="preserve"> </w:t>
      </w:r>
      <w:r w:rsidRPr="00C448A4">
        <w:rPr>
          <w:rFonts w:ascii="Times New Roman" w:eastAsia="MS Mincho" w:hAnsi="Times New Roman"/>
          <w:b/>
          <w:lang w:val="en-GB" w:eastAsia="en-GB"/>
        </w:rPr>
        <w:t>impact</w:t>
      </w:r>
      <w:r>
        <w:rPr>
          <w:rFonts w:ascii="Times New Roman" w:eastAsia="MS Mincho" w:hAnsi="Times New Roman"/>
          <w:b/>
          <w:lang w:val="en-GB" w:eastAsia="en-GB"/>
        </w:rPr>
        <w:t xml:space="preserve"> </w:t>
      </w:r>
      <w:r w:rsidRPr="00C448A4">
        <w:rPr>
          <w:rFonts w:ascii="Times New Roman" w:eastAsia="MS Mincho" w:hAnsi="Times New Roman"/>
          <w:b/>
          <w:lang w:val="en-GB" w:eastAsia="en-GB"/>
        </w:rPr>
        <w:t>to</w:t>
      </w:r>
      <w:r>
        <w:rPr>
          <w:rFonts w:ascii="Times New Roman" w:eastAsia="MS Mincho" w:hAnsi="Times New Roman"/>
          <w:b/>
          <w:lang w:val="en-GB" w:eastAsia="en-GB"/>
        </w:rPr>
        <w:t xml:space="preserve"> </w:t>
      </w:r>
      <w:r w:rsidRPr="00C448A4">
        <w:rPr>
          <w:rFonts w:ascii="Times New Roman" w:eastAsia="MS Mincho" w:hAnsi="Times New Roman"/>
          <w:b/>
          <w:lang w:val="en-GB" w:eastAsia="en-GB"/>
        </w:rPr>
        <w:t>BWP operation,</w:t>
      </w:r>
      <w:r w:rsidDel="000F1BA9">
        <w:rPr>
          <w:rFonts w:ascii="Times New Roman" w:eastAsia="MS Mincho" w:hAnsi="Times New Roman"/>
          <w:b/>
          <w:lang w:val="en-GB" w:eastAsia="en-GB"/>
        </w:rPr>
        <w:t xml:space="preserve"> </w:t>
      </w:r>
      <w:r w:rsidRPr="0088176E">
        <w:rPr>
          <w:rFonts w:ascii="Times New Roman" w:eastAsia="MS Mincho" w:hAnsi="Times New Roman" w:hint="eastAsia"/>
          <w:b/>
          <w:lang w:val="en-GB" w:eastAsia="en-GB"/>
        </w:rPr>
        <w:t>e.g.</w:t>
      </w:r>
      <w:r>
        <w:rPr>
          <w:rFonts w:ascii="Times New Roman" w:eastAsia="MS Mincho" w:hAnsi="Times New Roman"/>
          <w:b/>
          <w:lang w:val="en-GB" w:eastAsia="en-GB"/>
        </w:rPr>
        <w:t xml:space="preserve"> will not trigger active UL BWP switch.</w:t>
      </w:r>
    </w:p>
    <w:p w14:paraId="50997756" w14:textId="77777777" w:rsidR="00C7234D" w:rsidRDefault="009279BF" w:rsidP="002E7A4A">
      <w:pPr>
        <w:widowControl w:val="0"/>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25FEB637" w14:textId="0848B304" w:rsidR="00C7234D" w:rsidRDefault="009279BF" w:rsidP="009B748C">
      <w:pPr>
        <w:pStyle w:val="af4"/>
        <w:numPr>
          <w:ilvl w:val="0"/>
          <w:numId w:val="7"/>
        </w:numPr>
      </w:pPr>
      <w:r w:rsidRPr="009B748C">
        <w:t>R2_123 Chair Notes (MediaTek)</w:t>
      </w:r>
      <w:bookmarkEnd w:id="0"/>
    </w:p>
    <w:p w14:paraId="6C0F1B4B" w14:textId="47D7FDA5" w:rsidR="0042509E" w:rsidRPr="009B748C" w:rsidRDefault="0042509E" w:rsidP="009B748C">
      <w:pPr>
        <w:pStyle w:val="af4"/>
        <w:numPr>
          <w:ilvl w:val="0"/>
          <w:numId w:val="7"/>
        </w:numPr>
      </w:pPr>
      <w:r w:rsidRPr="0042509E">
        <w:t>R2-2309247</w:t>
      </w:r>
      <w:r>
        <w:t xml:space="preserve">, </w:t>
      </w:r>
      <w:r w:rsidRPr="0042509E">
        <w:t>Report of Offline Discussion [016] for Early TA Acquisition and RACH-Less</w:t>
      </w:r>
      <w:r>
        <w:t xml:space="preserve">, </w:t>
      </w:r>
      <w:r w:rsidRPr="0042509E">
        <w:t xml:space="preserve">ZTE </w:t>
      </w:r>
    </w:p>
    <w:p w14:paraId="26F622C3" w14:textId="131BCD3E" w:rsidR="009B748C" w:rsidRDefault="00C42B03" w:rsidP="003D496B">
      <w:pPr>
        <w:pStyle w:val="af4"/>
        <w:numPr>
          <w:ilvl w:val="0"/>
          <w:numId w:val="7"/>
        </w:numPr>
      </w:pPr>
      <w:r w:rsidRPr="00C42B03">
        <w:t>R2-2311595</w:t>
      </w:r>
      <w:r w:rsidR="009B748C" w:rsidRPr="009B748C">
        <w:t xml:space="preserve">, </w:t>
      </w:r>
      <w:r w:rsidRPr="00C42B03">
        <w:t>38.321 running CR for introduction of NR further mobility enhancements</w:t>
      </w:r>
      <w:r w:rsidR="009B748C" w:rsidRPr="009B748C">
        <w:t xml:space="preserve">, </w:t>
      </w:r>
      <w:r w:rsidRPr="00C42B03">
        <w:t>Huawei, HiSilicon</w:t>
      </w:r>
      <w:r w:rsidR="009B748C" w:rsidRPr="009B748C">
        <w:t>.</w:t>
      </w:r>
    </w:p>
    <w:p w14:paraId="212AA410" w14:textId="55CBF942" w:rsidR="007B1321" w:rsidRPr="009B748C" w:rsidRDefault="007B1321" w:rsidP="003D496B">
      <w:pPr>
        <w:pStyle w:val="af4"/>
        <w:numPr>
          <w:ilvl w:val="0"/>
          <w:numId w:val="7"/>
        </w:numPr>
      </w:pPr>
      <w:r w:rsidRPr="007B1321">
        <w:t>R2-2311604, RRC running CR for LTM, Ericsson.</w:t>
      </w:r>
    </w:p>
    <w:p w14:paraId="05FF9B35" w14:textId="0C592DE2" w:rsidR="003D496B" w:rsidRPr="00691311" w:rsidRDefault="003D496B" w:rsidP="001E04B6">
      <w:pPr>
        <w:spacing w:after="120"/>
        <w:ind w:left="420"/>
        <w:jc w:val="both"/>
        <w:rPr>
          <w:rFonts w:ascii="Times New Roman" w:eastAsia="宋体" w:hAnsi="Times New Roman"/>
          <w:color w:val="000000"/>
          <w:szCs w:val="24"/>
        </w:rPr>
      </w:pPr>
    </w:p>
    <w:sectPr w:rsidR="003D496B" w:rsidRPr="0069131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E1928" w14:textId="77777777" w:rsidR="00D45EC3" w:rsidRDefault="00D45EC3" w:rsidP="007074BE">
      <w:r>
        <w:separator/>
      </w:r>
    </w:p>
  </w:endnote>
  <w:endnote w:type="continuationSeparator" w:id="0">
    <w:p w14:paraId="1FD700D9" w14:textId="77777777" w:rsidR="00D45EC3" w:rsidRDefault="00D45EC3" w:rsidP="00707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44981" w14:textId="77777777" w:rsidR="00D45EC3" w:rsidRDefault="00D45EC3" w:rsidP="007074BE">
      <w:r>
        <w:separator/>
      </w:r>
    </w:p>
  </w:footnote>
  <w:footnote w:type="continuationSeparator" w:id="0">
    <w:p w14:paraId="24EA6841" w14:textId="77777777" w:rsidR="00D45EC3" w:rsidRDefault="00D45EC3" w:rsidP="007074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44C11"/>
    <w:multiLevelType w:val="multilevel"/>
    <w:tmpl w:val="C8BECCD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156AF"/>
    <w:multiLevelType w:val="multilevel"/>
    <w:tmpl w:val="9444948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E2729C"/>
    <w:multiLevelType w:val="multilevel"/>
    <w:tmpl w:val="434E5EE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4" w15:restartNumberingAfterBreak="0">
    <w:nsid w:val="1F83248A"/>
    <w:multiLevelType w:val="multilevel"/>
    <w:tmpl w:val="004499B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402922"/>
    <w:multiLevelType w:val="hybridMultilevel"/>
    <w:tmpl w:val="2F08D460"/>
    <w:lvl w:ilvl="0" w:tplc="95323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167ED4"/>
    <w:multiLevelType w:val="multilevel"/>
    <w:tmpl w:val="DAF4500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422303"/>
    <w:multiLevelType w:val="multilevel"/>
    <w:tmpl w:val="E94CB78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2965CD"/>
    <w:multiLevelType w:val="multilevel"/>
    <w:tmpl w:val="5DE475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6961CA8"/>
    <w:multiLevelType w:val="multilevel"/>
    <w:tmpl w:val="41FCE6B0"/>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88D020B"/>
    <w:multiLevelType w:val="multilevel"/>
    <w:tmpl w:val="488D020B"/>
    <w:lvl w:ilvl="0">
      <w:start w:val="1"/>
      <w:numFmt w:val="bullet"/>
      <w:lvlText w:val=""/>
      <w:lvlJc w:val="left"/>
      <w:pPr>
        <w:tabs>
          <w:tab w:val="left" w:pos="644"/>
        </w:tabs>
        <w:ind w:left="644"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3C6AD0"/>
    <w:multiLevelType w:val="hybridMultilevel"/>
    <w:tmpl w:val="0C8C95E0"/>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EC6AFC"/>
    <w:multiLevelType w:val="multilevel"/>
    <w:tmpl w:val="0436CBA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2A3880"/>
    <w:multiLevelType w:val="multilevel"/>
    <w:tmpl w:val="65C6F28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9671B2E"/>
    <w:multiLevelType w:val="multilevel"/>
    <w:tmpl w:val="59671B2E"/>
    <w:lvl w:ilvl="0">
      <w:start w:val="1"/>
      <w:numFmt w:val="bullet"/>
      <w:lvlText w:val=""/>
      <w:lvlJc w:val="left"/>
      <w:pPr>
        <w:ind w:left="720" w:hanging="36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16" w15:restartNumberingAfterBreak="0">
    <w:nsid w:val="596839E5"/>
    <w:multiLevelType w:val="hybridMultilevel"/>
    <w:tmpl w:val="C8E218EE"/>
    <w:lvl w:ilvl="0" w:tplc="6D9A0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4D5E54"/>
    <w:multiLevelType w:val="hybridMultilevel"/>
    <w:tmpl w:val="A7AE6E22"/>
    <w:lvl w:ilvl="0" w:tplc="E83863CA">
      <w:start w:val="3"/>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46960CA"/>
    <w:multiLevelType w:val="multilevel"/>
    <w:tmpl w:val="F42017F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1E0F5B"/>
    <w:multiLevelType w:val="multilevel"/>
    <w:tmpl w:val="B68A6B7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6E1028B9"/>
    <w:multiLevelType w:val="multilevel"/>
    <w:tmpl w:val="DDEAFCDA"/>
    <w:lvl w:ilvl="0">
      <w:start w:val="1"/>
      <w:numFmt w:val="decimal"/>
      <w:lvlText w:val="Proposal %1"/>
      <w:lvlJc w:val="left"/>
      <w:pPr>
        <w:tabs>
          <w:tab w:val="num" w:pos="1304"/>
        </w:tabs>
        <w:ind w:left="1304" w:hanging="1304"/>
      </w:pPr>
      <w:rPr>
        <w:rFonts w:ascii="Times New Roman" w:hAnsi="Times New Roman" w:cs="Times New Roman"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3" w15:restartNumberingAfterBreak="0">
    <w:nsid w:val="6EDB2961"/>
    <w:multiLevelType w:val="multilevel"/>
    <w:tmpl w:val="3072E85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D1D223A"/>
    <w:multiLevelType w:val="multilevel"/>
    <w:tmpl w:val="7D1D223A"/>
    <w:lvl w:ilvl="0">
      <w:start w:val="1"/>
      <w:numFmt w:val="bullet"/>
      <w:lvlText w:val=""/>
      <w:lvlJc w:val="left"/>
      <w:pPr>
        <w:ind w:left="487" w:hanging="440"/>
      </w:pPr>
      <w:rPr>
        <w:rFonts w:ascii="Wingdings" w:hAnsi="Wingdings" w:hint="default"/>
      </w:rPr>
    </w:lvl>
    <w:lvl w:ilvl="1">
      <w:start w:val="1"/>
      <w:numFmt w:val="bullet"/>
      <w:lvlText w:val="‐"/>
      <w:lvlJc w:val="left"/>
      <w:pPr>
        <w:ind w:left="927" w:hanging="440"/>
      </w:pPr>
      <w:rPr>
        <w:rFonts w:ascii="宋体" w:eastAsia="宋体" w:hAnsi="宋体" w:cs="Times New Roman" w:hint="eastAsia"/>
      </w:rPr>
    </w:lvl>
    <w:lvl w:ilvl="2">
      <w:start w:val="1"/>
      <w:numFmt w:val="bullet"/>
      <w:lvlText w:val=""/>
      <w:lvlJc w:val="left"/>
      <w:pPr>
        <w:ind w:left="1367" w:hanging="440"/>
      </w:pPr>
      <w:rPr>
        <w:rFonts w:ascii="Wingdings" w:hAnsi="Wingdings" w:hint="default"/>
      </w:rPr>
    </w:lvl>
    <w:lvl w:ilvl="3">
      <w:start w:val="1"/>
      <w:numFmt w:val="bullet"/>
      <w:lvlText w:val=""/>
      <w:lvlJc w:val="left"/>
      <w:pPr>
        <w:ind w:left="1807" w:hanging="440"/>
      </w:pPr>
      <w:rPr>
        <w:rFonts w:ascii="Wingdings" w:hAnsi="Wingdings" w:hint="default"/>
      </w:rPr>
    </w:lvl>
    <w:lvl w:ilvl="4">
      <w:start w:val="1"/>
      <w:numFmt w:val="bullet"/>
      <w:lvlText w:val=""/>
      <w:lvlJc w:val="left"/>
      <w:pPr>
        <w:ind w:left="2247" w:hanging="440"/>
      </w:pPr>
      <w:rPr>
        <w:rFonts w:ascii="Wingdings" w:hAnsi="Wingdings" w:hint="default"/>
      </w:rPr>
    </w:lvl>
    <w:lvl w:ilvl="5">
      <w:start w:val="1"/>
      <w:numFmt w:val="bullet"/>
      <w:lvlText w:val=""/>
      <w:lvlJc w:val="left"/>
      <w:pPr>
        <w:ind w:left="2687" w:hanging="440"/>
      </w:pPr>
      <w:rPr>
        <w:rFonts w:ascii="Wingdings" w:hAnsi="Wingdings" w:hint="default"/>
      </w:rPr>
    </w:lvl>
    <w:lvl w:ilvl="6">
      <w:start w:val="1"/>
      <w:numFmt w:val="bullet"/>
      <w:lvlText w:val=""/>
      <w:lvlJc w:val="left"/>
      <w:pPr>
        <w:ind w:left="3127" w:hanging="440"/>
      </w:pPr>
      <w:rPr>
        <w:rFonts w:ascii="Wingdings" w:hAnsi="Wingdings" w:hint="default"/>
      </w:rPr>
    </w:lvl>
    <w:lvl w:ilvl="7">
      <w:start w:val="1"/>
      <w:numFmt w:val="bullet"/>
      <w:lvlText w:val=""/>
      <w:lvlJc w:val="left"/>
      <w:pPr>
        <w:ind w:left="3567" w:hanging="440"/>
      </w:pPr>
      <w:rPr>
        <w:rFonts w:ascii="Wingdings" w:hAnsi="Wingdings" w:hint="default"/>
      </w:rPr>
    </w:lvl>
    <w:lvl w:ilvl="8">
      <w:start w:val="1"/>
      <w:numFmt w:val="bullet"/>
      <w:lvlText w:val=""/>
      <w:lvlJc w:val="left"/>
      <w:pPr>
        <w:ind w:left="4007" w:hanging="440"/>
      </w:pPr>
      <w:rPr>
        <w:rFonts w:ascii="Wingdings" w:hAnsi="Wingdings" w:hint="default"/>
      </w:rPr>
    </w:lvl>
  </w:abstractNum>
  <w:num w:numId="1" w16cid:durableId="460340223">
    <w:abstractNumId w:val="24"/>
  </w:num>
  <w:num w:numId="2" w16cid:durableId="2057073573">
    <w:abstractNumId w:val="3"/>
  </w:num>
  <w:num w:numId="3" w16cid:durableId="1915118500">
    <w:abstractNumId w:val="21"/>
  </w:num>
  <w:num w:numId="4" w16cid:durableId="161773996">
    <w:abstractNumId w:val="15"/>
  </w:num>
  <w:num w:numId="5" w16cid:durableId="729116450">
    <w:abstractNumId w:val="10"/>
  </w:num>
  <w:num w:numId="6" w16cid:durableId="1619217149">
    <w:abstractNumId w:val="26"/>
  </w:num>
  <w:num w:numId="7" w16cid:durableId="17405186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1210466">
    <w:abstractNumId w:val="18"/>
  </w:num>
  <w:num w:numId="9" w16cid:durableId="2035208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8011923">
    <w:abstractNumId w:val="5"/>
  </w:num>
  <w:num w:numId="11" w16cid:durableId="938834768">
    <w:abstractNumId w:val="16"/>
  </w:num>
  <w:num w:numId="12" w16cid:durableId="1040087754">
    <w:abstractNumId w:val="1"/>
  </w:num>
  <w:num w:numId="13" w16cid:durableId="586308177">
    <w:abstractNumId w:val="23"/>
  </w:num>
  <w:num w:numId="14" w16cid:durableId="1578710948">
    <w:abstractNumId w:val="13"/>
  </w:num>
  <w:num w:numId="15" w16cid:durableId="566498553">
    <w:abstractNumId w:val="7"/>
  </w:num>
  <w:num w:numId="16" w16cid:durableId="1805007092">
    <w:abstractNumId w:val="2"/>
  </w:num>
  <w:num w:numId="17" w16cid:durableId="443352918">
    <w:abstractNumId w:val="19"/>
  </w:num>
  <w:num w:numId="18" w16cid:durableId="937181466">
    <w:abstractNumId w:val="0"/>
  </w:num>
  <w:num w:numId="19" w16cid:durableId="376852214">
    <w:abstractNumId w:val="12"/>
  </w:num>
  <w:num w:numId="20" w16cid:durableId="1190724271">
    <w:abstractNumId w:val="20"/>
  </w:num>
  <w:num w:numId="21" w16cid:durableId="517427419">
    <w:abstractNumId w:val="6"/>
  </w:num>
  <w:num w:numId="22" w16cid:durableId="1654289802">
    <w:abstractNumId w:val="24"/>
  </w:num>
  <w:num w:numId="23" w16cid:durableId="1524590412">
    <w:abstractNumId w:val="4"/>
  </w:num>
  <w:num w:numId="24" w16cid:durableId="2119520434">
    <w:abstractNumId w:val="17"/>
  </w:num>
  <w:num w:numId="25" w16cid:durableId="1810398696">
    <w:abstractNumId w:val="11"/>
  </w:num>
  <w:num w:numId="26" w16cid:durableId="1994478700">
    <w:abstractNumId w:val="8"/>
  </w:num>
  <w:num w:numId="27" w16cid:durableId="1190096946">
    <w:abstractNumId w:val="14"/>
  </w:num>
  <w:num w:numId="28" w16cid:durableId="13131763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noPunctuationKerning/>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MqgFAEScwmktAAAA"/>
    <w:docVar w:name="commondata" w:val="eyJoZGlkIjoiYjc1NDAzZTU0MTc4OWEyODdhNTA1YWM1ZTU0NDZkYmQifQ=="/>
  </w:docVars>
  <w:rsids>
    <w:rsidRoot w:val="003672C4"/>
    <w:rsid w:val="0000131E"/>
    <w:rsid w:val="00001F7D"/>
    <w:rsid w:val="00002F76"/>
    <w:rsid w:val="00003F54"/>
    <w:rsid w:val="000049B7"/>
    <w:rsid w:val="0000515E"/>
    <w:rsid w:val="00013097"/>
    <w:rsid w:val="000153E2"/>
    <w:rsid w:val="00016572"/>
    <w:rsid w:val="00016AEE"/>
    <w:rsid w:val="00016EFF"/>
    <w:rsid w:val="000174A9"/>
    <w:rsid w:val="0002066C"/>
    <w:rsid w:val="000215A4"/>
    <w:rsid w:val="000242D5"/>
    <w:rsid w:val="000259BE"/>
    <w:rsid w:val="00025F1A"/>
    <w:rsid w:val="00027050"/>
    <w:rsid w:val="0002721E"/>
    <w:rsid w:val="00027243"/>
    <w:rsid w:val="00027894"/>
    <w:rsid w:val="000278D4"/>
    <w:rsid w:val="00027B2E"/>
    <w:rsid w:val="00030BD0"/>
    <w:rsid w:val="00031F3B"/>
    <w:rsid w:val="00042E4A"/>
    <w:rsid w:val="00045A08"/>
    <w:rsid w:val="00045D19"/>
    <w:rsid w:val="00046B50"/>
    <w:rsid w:val="000505B5"/>
    <w:rsid w:val="00050968"/>
    <w:rsid w:val="00051BC8"/>
    <w:rsid w:val="00051C31"/>
    <w:rsid w:val="00052BFD"/>
    <w:rsid w:val="000531C3"/>
    <w:rsid w:val="00053BD7"/>
    <w:rsid w:val="00057D31"/>
    <w:rsid w:val="00057EB8"/>
    <w:rsid w:val="0006064A"/>
    <w:rsid w:val="00060CCF"/>
    <w:rsid w:val="00060DC0"/>
    <w:rsid w:val="00063FB2"/>
    <w:rsid w:val="000679F2"/>
    <w:rsid w:val="00067D0E"/>
    <w:rsid w:val="00072A6A"/>
    <w:rsid w:val="00073B79"/>
    <w:rsid w:val="000749DB"/>
    <w:rsid w:val="000761A8"/>
    <w:rsid w:val="00077D41"/>
    <w:rsid w:val="00080417"/>
    <w:rsid w:val="00080C20"/>
    <w:rsid w:val="00083006"/>
    <w:rsid w:val="000850B0"/>
    <w:rsid w:val="00085826"/>
    <w:rsid w:val="000859FC"/>
    <w:rsid w:val="00085DBC"/>
    <w:rsid w:val="00093EB5"/>
    <w:rsid w:val="00094155"/>
    <w:rsid w:val="000A1322"/>
    <w:rsid w:val="000A165A"/>
    <w:rsid w:val="000A49A5"/>
    <w:rsid w:val="000A591D"/>
    <w:rsid w:val="000A5BF9"/>
    <w:rsid w:val="000A5CC5"/>
    <w:rsid w:val="000A6F81"/>
    <w:rsid w:val="000B5504"/>
    <w:rsid w:val="000B608F"/>
    <w:rsid w:val="000C1091"/>
    <w:rsid w:val="000C157A"/>
    <w:rsid w:val="000C1C4A"/>
    <w:rsid w:val="000C29C0"/>
    <w:rsid w:val="000C306F"/>
    <w:rsid w:val="000C38B7"/>
    <w:rsid w:val="000C4ABF"/>
    <w:rsid w:val="000D256E"/>
    <w:rsid w:val="000D2C2D"/>
    <w:rsid w:val="000D2CDC"/>
    <w:rsid w:val="000D368E"/>
    <w:rsid w:val="000D4189"/>
    <w:rsid w:val="000D5A52"/>
    <w:rsid w:val="000E5F49"/>
    <w:rsid w:val="000F09B2"/>
    <w:rsid w:val="000F1BA9"/>
    <w:rsid w:val="000F4580"/>
    <w:rsid w:val="000F45AB"/>
    <w:rsid w:val="000F5D15"/>
    <w:rsid w:val="000F5F20"/>
    <w:rsid w:val="00100440"/>
    <w:rsid w:val="00101705"/>
    <w:rsid w:val="00102992"/>
    <w:rsid w:val="001033FE"/>
    <w:rsid w:val="0010473C"/>
    <w:rsid w:val="00105469"/>
    <w:rsid w:val="00106F0C"/>
    <w:rsid w:val="0010724B"/>
    <w:rsid w:val="0010732B"/>
    <w:rsid w:val="00110631"/>
    <w:rsid w:val="00113AA8"/>
    <w:rsid w:val="00115CD2"/>
    <w:rsid w:val="00121569"/>
    <w:rsid w:val="00124517"/>
    <w:rsid w:val="00125D65"/>
    <w:rsid w:val="0012662C"/>
    <w:rsid w:val="00130AD4"/>
    <w:rsid w:val="00130D38"/>
    <w:rsid w:val="00130D40"/>
    <w:rsid w:val="00130DA7"/>
    <w:rsid w:val="001337DF"/>
    <w:rsid w:val="00133AA1"/>
    <w:rsid w:val="00133D24"/>
    <w:rsid w:val="0013489D"/>
    <w:rsid w:val="001377B9"/>
    <w:rsid w:val="00141FF8"/>
    <w:rsid w:val="00143F00"/>
    <w:rsid w:val="001443DE"/>
    <w:rsid w:val="00144A16"/>
    <w:rsid w:val="00145CDA"/>
    <w:rsid w:val="00147109"/>
    <w:rsid w:val="0014783F"/>
    <w:rsid w:val="00151330"/>
    <w:rsid w:val="001517B0"/>
    <w:rsid w:val="00161019"/>
    <w:rsid w:val="0016311E"/>
    <w:rsid w:val="00163435"/>
    <w:rsid w:val="00164744"/>
    <w:rsid w:val="00164FB3"/>
    <w:rsid w:val="00170DA9"/>
    <w:rsid w:val="00171AF2"/>
    <w:rsid w:val="00173ACF"/>
    <w:rsid w:val="00174722"/>
    <w:rsid w:val="00175E85"/>
    <w:rsid w:val="001779EB"/>
    <w:rsid w:val="00180507"/>
    <w:rsid w:val="001811A4"/>
    <w:rsid w:val="00181516"/>
    <w:rsid w:val="00181622"/>
    <w:rsid w:val="001826FF"/>
    <w:rsid w:val="001837C3"/>
    <w:rsid w:val="00184B90"/>
    <w:rsid w:val="00186766"/>
    <w:rsid w:val="00187C47"/>
    <w:rsid w:val="0019178C"/>
    <w:rsid w:val="001921F3"/>
    <w:rsid w:val="00193BBE"/>
    <w:rsid w:val="00195BCE"/>
    <w:rsid w:val="001A3ED0"/>
    <w:rsid w:val="001A65EC"/>
    <w:rsid w:val="001B0733"/>
    <w:rsid w:val="001B07F3"/>
    <w:rsid w:val="001B12E2"/>
    <w:rsid w:val="001B1423"/>
    <w:rsid w:val="001B1705"/>
    <w:rsid w:val="001B2570"/>
    <w:rsid w:val="001B3975"/>
    <w:rsid w:val="001B5C82"/>
    <w:rsid w:val="001B6506"/>
    <w:rsid w:val="001B76D0"/>
    <w:rsid w:val="001C0867"/>
    <w:rsid w:val="001C0B87"/>
    <w:rsid w:val="001C3969"/>
    <w:rsid w:val="001C51A1"/>
    <w:rsid w:val="001C5D1C"/>
    <w:rsid w:val="001C7801"/>
    <w:rsid w:val="001C7DE4"/>
    <w:rsid w:val="001D343B"/>
    <w:rsid w:val="001D4135"/>
    <w:rsid w:val="001D5ECD"/>
    <w:rsid w:val="001D7F43"/>
    <w:rsid w:val="001E04B6"/>
    <w:rsid w:val="001E178E"/>
    <w:rsid w:val="001E2F41"/>
    <w:rsid w:val="001F54A8"/>
    <w:rsid w:val="001F61EF"/>
    <w:rsid w:val="001F68BE"/>
    <w:rsid w:val="001F73EA"/>
    <w:rsid w:val="00201888"/>
    <w:rsid w:val="00202DD5"/>
    <w:rsid w:val="002034A5"/>
    <w:rsid w:val="00203CD4"/>
    <w:rsid w:val="00204377"/>
    <w:rsid w:val="00206284"/>
    <w:rsid w:val="00207215"/>
    <w:rsid w:val="00207324"/>
    <w:rsid w:val="00210183"/>
    <w:rsid w:val="00212035"/>
    <w:rsid w:val="00212A8E"/>
    <w:rsid w:val="0021328F"/>
    <w:rsid w:val="00214B76"/>
    <w:rsid w:val="00214B81"/>
    <w:rsid w:val="0021777D"/>
    <w:rsid w:val="00217A43"/>
    <w:rsid w:val="002214FC"/>
    <w:rsid w:val="00221C7A"/>
    <w:rsid w:val="00224165"/>
    <w:rsid w:val="0022464F"/>
    <w:rsid w:val="00224878"/>
    <w:rsid w:val="00224879"/>
    <w:rsid w:val="00224C7A"/>
    <w:rsid w:val="00224F55"/>
    <w:rsid w:val="002266DE"/>
    <w:rsid w:val="00226C71"/>
    <w:rsid w:val="00230285"/>
    <w:rsid w:val="00231AE2"/>
    <w:rsid w:val="0023360D"/>
    <w:rsid w:val="00234CE7"/>
    <w:rsid w:val="00235290"/>
    <w:rsid w:val="00235F45"/>
    <w:rsid w:val="00236C6B"/>
    <w:rsid w:val="00251300"/>
    <w:rsid w:val="002532A2"/>
    <w:rsid w:val="00254CAB"/>
    <w:rsid w:val="00255B90"/>
    <w:rsid w:val="002611A8"/>
    <w:rsid w:val="00262A5B"/>
    <w:rsid w:val="002639F2"/>
    <w:rsid w:val="00265765"/>
    <w:rsid w:val="00266B52"/>
    <w:rsid w:val="00267289"/>
    <w:rsid w:val="00270278"/>
    <w:rsid w:val="00271219"/>
    <w:rsid w:val="002728D0"/>
    <w:rsid w:val="002728D5"/>
    <w:rsid w:val="00272BD9"/>
    <w:rsid w:val="00273BEC"/>
    <w:rsid w:val="00273E3D"/>
    <w:rsid w:val="00277503"/>
    <w:rsid w:val="00280573"/>
    <w:rsid w:val="00283D78"/>
    <w:rsid w:val="002846E1"/>
    <w:rsid w:val="002873CA"/>
    <w:rsid w:val="00287B28"/>
    <w:rsid w:val="00290FBC"/>
    <w:rsid w:val="00292B29"/>
    <w:rsid w:val="00292BD2"/>
    <w:rsid w:val="00292DEC"/>
    <w:rsid w:val="002944D9"/>
    <w:rsid w:val="00294F48"/>
    <w:rsid w:val="002A0089"/>
    <w:rsid w:val="002A28FE"/>
    <w:rsid w:val="002A51F0"/>
    <w:rsid w:val="002A5D69"/>
    <w:rsid w:val="002A7927"/>
    <w:rsid w:val="002B0929"/>
    <w:rsid w:val="002B2A3A"/>
    <w:rsid w:val="002B34AF"/>
    <w:rsid w:val="002B3EBB"/>
    <w:rsid w:val="002B4812"/>
    <w:rsid w:val="002B71B6"/>
    <w:rsid w:val="002B7212"/>
    <w:rsid w:val="002C3F56"/>
    <w:rsid w:val="002C5C65"/>
    <w:rsid w:val="002C64C6"/>
    <w:rsid w:val="002C6812"/>
    <w:rsid w:val="002C6938"/>
    <w:rsid w:val="002C7EA8"/>
    <w:rsid w:val="002D1B01"/>
    <w:rsid w:val="002D44EB"/>
    <w:rsid w:val="002E1B88"/>
    <w:rsid w:val="002E4099"/>
    <w:rsid w:val="002E4EA8"/>
    <w:rsid w:val="002E7A4A"/>
    <w:rsid w:val="002F0A54"/>
    <w:rsid w:val="002F114E"/>
    <w:rsid w:val="002F1F44"/>
    <w:rsid w:val="002F23B1"/>
    <w:rsid w:val="002F3BAE"/>
    <w:rsid w:val="002F4129"/>
    <w:rsid w:val="002F44D7"/>
    <w:rsid w:val="002F58A7"/>
    <w:rsid w:val="002F6AB0"/>
    <w:rsid w:val="002F7412"/>
    <w:rsid w:val="002F7868"/>
    <w:rsid w:val="00300F40"/>
    <w:rsid w:val="003010F8"/>
    <w:rsid w:val="00301233"/>
    <w:rsid w:val="00303995"/>
    <w:rsid w:val="00304277"/>
    <w:rsid w:val="0031061B"/>
    <w:rsid w:val="003112E6"/>
    <w:rsid w:val="00314263"/>
    <w:rsid w:val="00314579"/>
    <w:rsid w:val="003147B9"/>
    <w:rsid w:val="00315EAB"/>
    <w:rsid w:val="0031625E"/>
    <w:rsid w:val="0031694B"/>
    <w:rsid w:val="00317F21"/>
    <w:rsid w:val="00320071"/>
    <w:rsid w:val="00322121"/>
    <w:rsid w:val="00324115"/>
    <w:rsid w:val="00327C61"/>
    <w:rsid w:val="00331747"/>
    <w:rsid w:val="003321D0"/>
    <w:rsid w:val="003322DF"/>
    <w:rsid w:val="00332D94"/>
    <w:rsid w:val="0033334B"/>
    <w:rsid w:val="00333694"/>
    <w:rsid w:val="00336F33"/>
    <w:rsid w:val="00342DC1"/>
    <w:rsid w:val="00344E2F"/>
    <w:rsid w:val="00345346"/>
    <w:rsid w:val="00346E10"/>
    <w:rsid w:val="00347460"/>
    <w:rsid w:val="00347A53"/>
    <w:rsid w:val="0035072F"/>
    <w:rsid w:val="00352125"/>
    <w:rsid w:val="00352C5E"/>
    <w:rsid w:val="00353C6C"/>
    <w:rsid w:val="003541EC"/>
    <w:rsid w:val="00360889"/>
    <w:rsid w:val="003618AB"/>
    <w:rsid w:val="00365719"/>
    <w:rsid w:val="00365CAE"/>
    <w:rsid w:val="00367057"/>
    <w:rsid w:val="003672C4"/>
    <w:rsid w:val="003677D8"/>
    <w:rsid w:val="00367945"/>
    <w:rsid w:val="00367DB3"/>
    <w:rsid w:val="00372DC6"/>
    <w:rsid w:val="00381E7B"/>
    <w:rsid w:val="0038212B"/>
    <w:rsid w:val="0038269C"/>
    <w:rsid w:val="00387C7F"/>
    <w:rsid w:val="00390308"/>
    <w:rsid w:val="0039150B"/>
    <w:rsid w:val="00392F1F"/>
    <w:rsid w:val="003935EE"/>
    <w:rsid w:val="00393B09"/>
    <w:rsid w:val="00395A08"/>
    <w:rsid w:val="00396584"/>
    <w:rsid w:val="003965D0"/>
    <w:rsid w:val="003967F7"/>
    <w:rsid w:val="003972C4"/>
    <w:rsid w:val="003A01D4"/>
    <w:rsid w:val="003A362B"/>
    <w:rsid w:val="003A631D"/>
    <w:rsid w:val="003A6948"/>
    <w:rsid w:val="003A715A"/>
    <w:rsid w:val="003A7293"/>
    <w:rsid w:val="003B1F17"/>
    <w:rsid w:val="003B2CB9"/>
    <w:rsid w:val="003B50FC"/>
    <w:rsid w:val="003B5D77"/>
    <w:rsid w:val="003B6BD3"/>
    <w:rsid w:val="003C4010"/>
    <w:rsid w:val="003D11BF"/>
    <w:rsid w:val="003D496B"/>
    <w:rsid w:val="003D633B"/>
    <w:rsid w:val="003D7A81"/>
    <w:rsid w:val="003D7B3F"/>
    <w:rsid w:val="003E02FD"/>
    <w:rsid w:val="003E0644"/>
    <w:rsid w:val="003E108D"/>
    <w:rsid w:val="003E3CE0"/>
    <w:rsid w:val="003E4178"/>
    <w:rsid w:val="003E47BD"/>
    <w:rsid w:val="003E510A"/>
    <w:rsid w:val="003E56ED"/>
    <w:rsid w:val="003E6F50"/>
    <w:rsid w:val="003F0332"/>
    <w:rsid w:val="003F22AB"/>
    <w:rsid w:val="003F3CBD"/>
    <w:rsid w:val="003F4231"/>
    <w:rsid w:val="003F6A3A"/>
    <w:rsid w:val="003F7A6F"/>
    <w:rsid w:val="00402FCA"/>
    <w:rsid w:val="00405EC6"/>
    <w:rsid w:val="0040649F"/>
    <w:rsid w:val="00407983"/>
    <w:rsid w:val="004103C6"/>
    <w:rsid w:val="00412680"/>
    <w:rsid w:val="004129C5"/>
    <w:rsid w:val="00413485"/>
    <w:rsid w:val="0041673C"/>
    <w:rsid w:val="00416E15"/>
    <w:rsid w:val="004176BE"/>
    <w:rsid w:val="0042113D"/>
    <w:rsid w:val="004214D7"/>
    <w:rsid w:val="0042509E"/>
    <w:rsid w:val="00425A6F"/>
    <w:rsid w:val="00427F0D"/>
    <w:rsid w:val="004313E7"/>
    <w:rsid w:val="004335ED"/>
    <w:rsid w:val="00435488"/>
    <w:rsid w:val="00435F74"/>
    <w:rsid w:val="00436C44"/>
    <w:rsid w:val="00437BBF"/>
    <w:rsid w:val="0044154A"/>
    <w:rsid w:val="00441652"/>
    <w:rsid w:val="00443363"/>
    <w:rsid w:val="00443BFF"/>
    <w:rsid w:val="00447DFF"/>
    <w:rsid w:val="00450551"/>
    <w:rsid w:val="004525D2"/>
    <w:rsid w:val="00454F7F"/>
    <w:rsid w:val="00456248"/>
    <w:rsid w:val="00460167"/>
    <w:rsid w:val="00460B91"/>
    <w:rsid w:val="004613A0"/>
    <w:rsid w:val="00462336"/>
    <w:rsid w:val="00464D2B"/>
    <w:rsid w:val="004653A6"/>
    <w:rsid w:val="0046673B"/>
    <w:rsid w:val="0046728A"/>
    <w:rsid w:val="00470EFD"/>
    <w:rsid w:val="00471788"/>
    <w:rsid w:val="00477D9F"/>
    <w:rsid w:val="00477E90"/>
    <w:rsid w:val="00480785"/>
    <w:rsid w:val="00480D18"/>
    <w:rsid w:val="00482533"/>
    <w:rsid w:val="00482C29"/>
    <w:rsid w:val="00486DD7"/>
    <w:rsid w:val="0049472A"/>
    <w:rsid w:val="004954F7"/>
    <w:rsid w:val="0049557B"/>
    <w:rsid w:val="004972AF"/>
    <w:rsid w:val="004A137D"/>
    <w:rsid w:val="004A22FD"/>
    <w:rsid w:val="004A712E"/>
    <w:rsid w:val="004B0E72"/>
    <w:rsid w:val="004B2154"/>
    <w:rsid w:val="004B2A97"/>
    <w:rsid w:val="004B40EA"/>
    <w:rsid w:val="004B40F7"/>
    <w:rsid w:val="004B5457"/>
    <w:rsid w:val="004B65C8"/>
    <w:rsid w:val="004C0047"/>
    <w:rsid w:val="004C15A7"/>
    <w:rsid w:val="004C2969"/>
    <w:rsid w:val="004C3201"/>
    <w:rsid w:val="004C5DB4"/>
    <w:rsid w:val="004D0EA0"/>
    <w:rsid w:val="004D1F26"/>
    <w:rsid w:val="004D46E2"/>
    <w:rsid w:val="004E3A5E"/>
    <w:rsid w:val="004E3E1A"/>
    <w:rsid w:val="004E5591"/>
    <w:rsid w:val="004F01B7"/>
    <w:rsid w:val="004F06B4"/>
    <w:rsid w:val="004F09A4"/>
    <w:rsid w:val="004F11A2"/>
    <w:rsid w:val="004F207A"/>
    <w:rsid w:val="004F222F"/>
    <w:rsid w:val="004F5019"/>
    <w:rsid w:val="005000A8"/>
    <w:rsid w:val="005015C9"/>
    <w:rsid w:val="00503514"/>
    <w:rsid w:val="005036FC"/>
    <w:rsid w:val="005042E5"/>
    <w:rsid w:val="00504AAE"/>
    <w:rsid w:val="005059AF"/>
    <w:rsid w:val="00510A5B"/>
    <w:rsid w:val="00511267"/>
    <w:rsid w:val="00511E97"/>
    <w:rsid w:val="00514138"/>
    <w:rsid w:val="0051541A"/>
    <w:rsid w:val="00520A3B"/>
    <w:rsid w:val="00524C50"/>
    <w:rsid w:val="0052511E"/>
    <w:rsid w:val="005251AD"/>
    <w:rsid w:val="00525B55"/>
    <w:rsid w:val="00525D82"/>
    <w:rsid w:val="0053192C"/>
    <w:rsid w:val="00531A6A"/>
    <w:rsid w:val="005346E7"/>
    <w:rsid w:val="00535614"/>
    <w:rsid w:val="005372F8"/>
    <w:rsid w:val="00540459"/>
    <w:rsid w:val="005427F2"/>
    <w:rsid w:val="005449C0"/>
    <w:rsid w:val="00545B4D"/>
    <w:rsid w:val="0054641E"/>
    <w:rsid w:val="00547360"/>
    <w:rsid w:val="00547D42"/>
    <w:rsid w:val="00555DE1"/>
    <w:rsid w:val="00563AFA"/>
    <w:rsid w:val="00564CD6"/>
    <w:rsid w:val="00572986"/>
    <w:rsid w:val="00573124"/>
    <w:rsid w:val="0057438B"/>
    <w:rsid w:val="0058114C"/>
    <w:rsid w:val="0058166B"/>
    <w:rsid w:val="005816D7"/>
    <w:rsid w:val="0058179F"/>
    <w:rsid w:val="00582207"/>
    <w:rsid w:val="00586158"/>
    <w:rsid w:val="00590D67"/>
    <w:rsid w:val="00592788"/>
    <w:rsid w:val="0059329D"/>
    <w:rsid w:val="00593C37"/>
    <w:rsid w:val="005940ED"/>
    <w:rsid w:val="00594CA4"/>
    <w:rsid w:val="00595BCF"/>
    <w:rsid w:val="00596D36"/>
    <w:rsid w:val="00597791"/>
    <w:rsid w:val="005A092B"/>
    <w:rsid w:val="005A0D8D"/>
    <w:rsid w:val="005A2079"/>
    <w:rsid w:val="005A6076"/>
    <w:rsid w:val="005B1A75"/>
    <w:rsid w:val="005B559E"/>
    <w:rsid w:val="005B580D"/>
    <w:rsid w:val="005C2DDA"/>
    <w:rsid w:val="005C3913"/>
    <w:rsid w:val="005C4187"/>
    <w:rsid w:val="005C46A3"/>
    <w:rsid w:val="005C4C98"/>
    <w:rsid w:val="005C5E88"/>
    <w:rsid w:val="005C6261"/>
    <w:rsid w:val="005D08A2"/>
    <w:rsid w:val="005D0EB2"/>
    <w:rsid w:val="005D4FE1"/>
    <w:rsid w:val="005D5B9B"/>
    <w:rsid w:val="005D5E44"/>
    <w:rsid w:val="005D70B2"/>
    <w:rsid w:val="005E1FA2"/>
    <w:rsid w:val="005E4893"/>
    <w:rsid w:val="005E5212"/>
    <w:rsid w:val="005E641E"/>
    <w:rsid w:val="005E657B"/>
    <w:rsid w:val="005F0DDE"/>
    <w:rsid w:val="005F43F5"/>
    <w:rsid w:val="005F4417"/>
    <w:rsid w:val="005F5905"/>
    <w:rsid w:val="005F7591"/>
    <w:rsid w:val="00600370"/>
    <w:rsid w:val="006041F9"/>
    <w:rsid w:val="00604395"/>
    <w:rsid w:val="0060539C"/>
    <w:rsid w:val="0060659D"/>
    <w:rsid w:val="00606752"/>
    <w:rsid w:val="00607DA9"/>
    <w:rsid w:val="00610484"/>
    <w:rsid w:val="00613A66"/>
    <w:rsid w:val="006148F8"/>
    <w:rsid w:val="00614EDF"/>
    <w:rsid w:val="00621A9A"/>
    <w:rsid w:val="00622B45"/>
    <w:rsid w:val="0062486A"/>
    <w:rsid w:val="00625E94"/>
    <w:rsid w:val="00630DD1"/>
    <w:rsid w:val="00631F2C"/>
    <w:rsid w:val="00632B24"/>
    <w:rsid w:val="00632C69"/>
    <w:rsid w:val="00634895"/>
    <w:rsid w:val="00635B53"/>
    <w:rsid w:val="0063646C"/>
    <w:rsid w:val="00637B20"/>
    <w:rsid w:val="006404FA"/>
    <w:rsid w:val="006431C0"/>
    <w:rsid w:val="006444F1"/>
    <w:rsid w:val="00644B4C"/>
    <w:rsid w:val="00645A11"/>
    <w:rsid w:val="00647510"/>
    <w:rsid w:val="0065103E"/>
    <w:rsid w:val="00653ABB"/>
    <w:rsid w:val="0065583B"/>
    <w:rsid w:val="006568C6"/>
    <w:rsid w:val="00656D0B"/>
    <w:rsid w:val="006618CD"/>
    <w:rsid w:val="006632FB"/>
    <w:rsid w:val="006643C6"/>
    <w:rsid w:val="00666066"/>
    <w:rsid w:val="006668FD"/>
    <w:rsid w:val="0066769E"/>
    <w:rsid w:val="00671B9B"/>
    <w:rsid w:val="00672E6B"/>
    <w:rsid w:val="00673972"/>
    <w:rsid w:val="0067448F"/>
    <w:rsid w:val="00677C01"/>
    <w:rsid w:val="00677D22"/>
    <w:rsid w:val="00681338"/>
    <w:rsid w:val="00682A7B"/>
    <w:rsid w:val="00691311"/>
    <w:rsid w:val="00691573"/>
    <w:rsid w:val="006917FB"/>
    <w:rsid w:val="0069237A"/>
    <w:rsid w:val="00697109"/>
    <w:rsid w:val="0069774C"/>
    <w:rsid w:val="00697F37"/>
    <w:rsid w:val="006A2060"/>
    <w:rsid w:val="006A2F83"/>
    <w:rsid w:val="006A4CEB"/>
    <w:rsid w:val="006A543E"/>
    <w:rsid w:val="006A5F2B"/>
    <w:rsid w:val="006A653D"/>
    <w:rsid w:val="006B0023"/>
    <w:rsid w:val="006B23E9"/>
    <w:rsid w:val="006B4C36"/>
    <w:rsid w:val="006B5A26"/>
    <w:rsid w:val="006B6FC9"/>
    <w:rsid w:val="006B7745"/>
    <w:rsid w:val="006C104F"/>
    <w:rsid w:val="006C16E3"/>
    <w:rsid w:val="006C20B3"/>
    <w:rsid w:val="006C3FAB"/>
    <w:rsid w:val="006C6635"/>
    <w:rsid w:val="006C6B87"/>
    <w:rsid w:val="006C7CAF"/>
    <w:rsid w:val="006D1374"/>
    <w:rsid w:val="006D218D"/>
    <w:rsid w:val="006D3EFE"/>
    <w:rsid w:val="006D46C5"/>
    <w:rsid w:val="006D5761"/>
    <w:rsid w:val="006D6203"/>
    <w:rsid w:val="006D659E"/>
    <w:rsid w:val="006E11DD"/>
    <w:rsid w:val="006E17F4"/>
    <w:rsid w:val="006E2688"/>
    <w:rsid w:val="006E37F4"/>
    <w:rsid w:val="006E508E"/>
    <w:rsid w:val="006E7A27"/>
    <w:rsid w:val="006F0916"/>
    <w:rsid w:val="006F3281"/>
    <w:rsid w:val="006F3619"/>
    <w:rsid w:val="006F369D"/>
    <w:rsid w:val="006F4583"/>
    <w:rsid w:val="006F5FE1"/>
    <w:rsid w:val="006F7170"/>
    <w:rsid w:val="006F73D7"/>
    <w:rsid w:val="006F76C1"/>
    <w:rsid w:val="00700399"/>
    <w:rsid w:val="00705035"/>
    <w:rsid w:val="007074BE"/>
    <w:rsid w:val="00707DC8"/>
    <w:rsid w:val="00710BBF"/>
    <w:rsid w:val="007121E5"/>
    <w:rsid w:val="007156F6"/>
    <w:rsid w:val="00721636"/>
    <w:rsid w:val="00721840"/>
    <w:rsid w:val="00724896"/>
    <w:rsid w:val="007270AC"/>
    <w:rsid w:val="007272C9"/>
    <w:rsid w:val="00735144"/>
    <w:rsid w:val="00735CF8"/>
    <w:rsid w:val="00736261"/>
    <w:rsid w:val="0074039E"/>
    <w:rsid w:val="00740638"/>
    <w:rsid w:val="007409B5"/>
    <w:rsid w:val="007418A8"/>
    <w:rsid w:val="00742E59"/>
    <w:rsid w:val="007444B7"/>
    <w:rsid w:val="00744681"/>
    <w:rsid w:val="00744825"/>
    <w:rsid w:val="00744942"/>
    <w:rsid w:val="0074543B"/>
    <w:rsid w:val="007459C8"/>
    <w:rsid w:val="00750EA4"/>
    <w:rsid w:val="0075157D"/>
    <w:rsid w:val="007524D9"/>
    <w:rsid w:val="007541B6"/>
    <w:rsid w:val="00754753"/>
    <w:rsid w:val="007548BB"/>
    <w:rsid w:val="0075566D"/>
    <w:rsid w:val="00755AA5"/>
    <w:rsid w:val="00755BF4"/>
    <w:rsid w:val="00755F33"/>
    <w:rsid w:val="007613FF"/>
    <w:rsid w:val="007672B0"/>
    <w:rsid w:val="00767446"/>
    <w:rsid w:val="00767D74"/>
    <w:rsid w:val="007705EB"/>
    <w:rsid w:val="0077316A"/>
    <w:rsid w:val="0077331A"/>
    <w:rsid w:val="0077386E"/>
    <w:rsid w:val="0077404B"/>
    <w:rsid w:val="00774B41"/>
    <w:rsid w:val="00774DC2"/>
    <w:rsid w:val="00775CE6"/>
    <w:rsid w:val="00776156"/>
    <w:rsid w:val="00776267"/>
    <w:rsid w:val="007803BE"/>
    <w:rsid w:val="00781739"/>
    <w:rsid w:val="00782769"/>
    <w:rsid w:val="00784B14"/>
    <w:rsid w:val="00785DB7"/>
    <w:rsid w:val="0078646D"/>
    <w:rsid w:val="00791F17"/>
    <w:rsid w:val="00793CA9"/>
    <w:rsid w:val="00793E0A"/>
    <w:rsid w:val="007A18DA"/>
    <w:rsid w:val="007A2193"/>
    <w:rsid w:val="007A7349"/>
    <w:rsid w:val="007B07C6"/>
    <w:rsid w:val="007B1321"/>
    <w:rsid w:val="007B5677"/>
    <w:rsid w:val="007B7221"/>
    <w:rsid w:val="007C108C"/>
    <w:rsid w:val="007C16E7"/>
    <w:rsid w:val="007C221F"/>
    <w:rsid w:val="007C7B97"/>
    <w:rsid w:val="007C7D47"/>
    <w:rsid w:val="007D2BB2"/>
    <w:rsid w:val="007D42D6"/>
    <w:rsid w:val="007D4E37"/>
    <w:rsid w:val="007D7987"/>
    <w:rsid w:val="007E113A"/>
    <w:rsid w:val="007E2184"/>
    <w:rsid w:val="007E298D"/>
    <w:rsid w:val="007E724F"/>
    <w:rsid w:val="007E7533"/>
    <w:rsid w:val="007F021B"/>
    <w:rsid w:val="007F26D2"/>
    <w:rsid w:val="007F6C7C"/>
    <w:rsid w:val="007F7977"/>
    <w:rsid w:val="008121AB"/>
    <w:rsid w:val="008131BC"/>
    <w:rsid w:val="00813890"/>
    <w:rsid w:val="00813CD7"/>
    <w:rsid w:val="00814489"/>
    <w:rsid w:val="008144F5"/>
    <w:rsid w:val="00815CC9"/>
    <w:rsid w:val="008163CA"/>
    <w:rsid w:val="00820317"/>
    <w:rsid w:val="00820C20"/>
    <w:rsid w:val="00821137"/>
    <w:rsid w:val="008220E4"/>
    <w:rsid w:val="008308E3"/>
    <w:rsid w:val="008311DB"/>
    <w:rsid w:val="0083290E"/>
    <w:rsid w:val="008355B8"/>
    <w:rsid w:val="008454B5"/>
    <w:rsid w:val="0084791D"/>
    <w:rsid w:val="008537AF"/>
    <w:rsid w:val="0085409A"/>
    <w:rsid w:val="008547A5"/>
    <w:rsid w:val="00855043"/>
    <w:rsid w:val="00855ADD"/>
    <w:rsid w:val="00861229"/>
    <w:rsid w:val="00861799"/>
    <w:rsid w:val="008642A3"/>
    <w:rsid w:val="0086520A"/>
    <w:rsid w:val="00871D15"/>
    <w:rsid w:val="00873A4E"/>
    <w:rsid w:val="008753AF"/>
    <w:rsid w:val="0087587D"/>
    <w:rsid w:val="00876950"/>
    <w:rsid w:val="00880742"/>
    <w:rsid w:val="00883488"/>
    <w:rsid w:val="00883D17"/>
    <w:rsid w:val="00885071"/>
    <w:rsid w:val="008858DD"/>
    <w:rsid w:val="00885D87"/>
    <w:rsid w:val="00886F22"/>
    <w:rsid w:val="008872FB"/>
    <w:rsid w:val="00887A0C"/>
    <w:rsid w:val="008A13B7"/>
    <w:rsid w:val="008A1592"/>
    <w:rsid w:val="008A1C77"/>
    <w:rsid w:val="008A3542"/>
    <w:rsid w:val="008A4858"/>
    <w:rsid w:val="008A775F"/>
    <w:rsid w:val="008B1BE1"/>
    <w:rsid w:val="008B467F"/>
    <w:rsid w:val="008B4D11"/>
    <w:rsid w:val="008B5026"/>
    <w:rsid w:val="008B609C"/>
    <w:rsid w:val="008C0C0F"/>
    <w:rsid w:val="008C1842"/>
    <w:rsid w:val="008C1EA8"/>
    <w:rsid w:val="008D008F"/>
    <w:rsid w:val="008D0F40"/>
    <w:rsid w:val="008D114C"/>
    <w:rsid w:val="008D1D0E"/>
    <w:rsid w:val="008D229A"/>
    <w:rsid w:val="008D795E"/>
    <w:rsid w:val="008E3215"/>
    <w:rsid w:val="008E604B"/>
    <w:rsid w:val="008E6AAB"/>
    <w:rsid w:val="008E775E"/>
    <w:rsid w:val="008E7C50"/>
    <w:rsid w:val="008F05FB"/>
    <w:rsid w:val="008F44ED"/>
    <w:rsid w:val="008F5EF8"/>
    <w:rsid w:val="009022D4"/>
    <w:rsid w:val="00903DDA"/>
    <w:rsid w:val="009040A6"/>
    <w:rsid w:val="00904674"/>
    <w:rsid w:val="00907B3A"/>
    <w:rsid w:val="0091308E"/>
    <w:rsid w:val="009134F5"/>
    <w:rsid w:val="0091355D"/>
    <w:rsid w:val="009141C2"/>
    <w:rsid w:val="009144BE"/>
    <w:rsid w:val="00914603"/>
    <w:rsid w:val="00914D85"/>
    <w:rsid w:val="00915848"/>
    <w:rsid w:val="00917D90"/>
    <w:rsid w:val="009255C4"/>
    <w:rsid w:val="00927493"/>
    <w:rsid w:val="009279BF"/>
    <w:rsid w:val="00930C0A"/>
    <w:rsid w:val="009337B6"/>
    <w:rsid w:val="00933ECD"/>
    <w:rsid w:val="0094181D"/>
    <w:rsid w:val="00942160"/>
    <w:rsid w:val="0094320D"/>
    <w:rsid w:val="00943D30"/>
    <w:rsid w:val="00945CE7"/>
    <w:rsid w:val="00947402"/>
    <w:rsid w:val="00947D72"/>
    <w:rsid w:val="00947DBA"/>
    <w:rsid w:val="009506EB"/>
    <w:rsid w:val="00950EBC"/>
    <w:rsid w:val="00952E85"/>
    <w:rsid w:val="00954ED3"/>
    <w:rsid w:val="009557D4"/>
    <w:rsid w:val="00957716"/>
    <w:rsid w:val="00960023"/>
    <w:rsid w:val="00962CBC"/>
    <w:rsid w:val="00964776"/>
    <w:rsid w:val="0096503B"/>
    <w:rsid w:val="00965208"/>
    <w:rsid w:val="009657EA"/>
    <w:rsid w:val="00965927"/>
    <w:rsid w:val="009673D4"/>
    <w:rsid w:val="009675B6"/>
    <w:rsid w:val="00967EE2"/>
    <w:rsid w:val="0097183E"/>
    <w:rsid w:val="00971BD8"/>
    <w:rsid w:val="009721BA"/>
    <w:rsid w:val="0097359B"/>
    <w:rsid w:val="00974E2B"/>
    <w:rsid w:val="00975779"/>
    <w:rsid w:val="0098052F"/>
    <w:rsid w:val="009815C7"/>
    <w:rsid w:val="00982C6F"/>
    <w:rsid w:val="009863FA"/>
    <w:rsid w:val="00990943"/>
    <w:rsid w:val="00990BE4"/>
    <w:rsid w:val="00993DAC"/>
    <w:rsid w:val="00996B9C"/>
    <w:rsid w:val="009979B0"/>
    <w:rsid w:val="009A0897"/>
    <w:rsid w:val="009A4421"/>
    <w:rsid w:val="009A79B1"/>
    <w:rsid w:val="009B246A"/>
    <w:rsid w:val="009B4D2E"/>
    <w:rsid w:val="009B5493"/>
    <w:rsid w:val="009B5848"/>
    <w:rsid w:val="009B598D"/>
    <w:rsid w:val="009B748C"/>
    <w:rsid w:val="009C01D4"/>
    <w:rsid w:val="009C09CA"/>
    <w:rsid w:val="009C476B"/>
    <w:rsid w:val="009C796B"/>
    <w:rsid w:val="009C7C0D"/>
    <w:rsid w:val="009C7C1D"/>
    <w:rsid w:val="009D4936"/>
    <w:rsid w:val="009E0334"/>
    <w:rsid w:val="009E3091"/>
    <w:rsid w:val="009E444F"/>
    <w:rsid w:val="009E5495"/>
    <w:rsid w:val="009F037D"/>
    <w:rsid w:val="009F0FD9"/>
    <w:rsid w:val="009F1F0E"/>
    <w:rsid w:val="009F63C1"/>
    <w:rsid w:val="009F6409"/>
    <w:rsid w:val="009F6BD5"/>
    <w:rsid w:val="009F75B4"/>
    <w:rsid w:val="00A039B4"/>
    <w:rsid w:val="00A04472"/>
    <w:rsid w:val="00A0691D"/>
    <w:rsid w:val="00A10A75"/>
    <w:rsid w:val="00A10C06"/>
    <w:rsid w:val="00A1116F"/>
    <w:rsid w:val="00A1276C"/>
    <w:rsid w:val="00A12939"/>
    <w:rsid w:val="00A135C5"/>
    <w:rsid w:val="00A14D4A"/>
    <w:rsid w:val="00A14E3A"/>
    <w:rsid w:val="00A14FA6"/>
    <w:rsid w:val="00A20836"/>
    <w:rsid w:val="00A21BC1"/>
    <w:rsid w:val="00A22104"/>
    <w:rsid w:val="00A22686"/>
    <w:rsid w:val="00A22B5C"/>
    <w:rsid w:val="00A23EF7"/>
    <w:rsid w:val="00A24FB7"/>
    <w:rsid w:val="00A27572"/>
    <w:rsid w:val="00A30205"/>
    <w:rsid w:val="00A328E0"/>
    <w:rsid w:val="00A34947"/>
    <w:rsid w:val="00A379B8"/>
    <w:rsid w:val="00A42560"/>
    <w:rsid w:val="00A51ADF"/>
    <w:rsid w:val="00A52453"/>
    <w:rsid w:val="00A63A89"/>
    <w:rsid w:val="00A64220"/>
    <w:rsid w:val="00A65D36"/>
    <w:rsid w:val="00A72CA9"/>
    <w:rsid w:val="00A73DD7"/>
    <w:rsid w:val="00A75D99"/>
    <w:rsid w:val="00A7606D"/>
    <w:rsid w:val="00A765CA"/>
    <w:rsid w:val="00A7715F"/>
    <w:rsid w:val="00A7718C"/>
    <w:rsid w:val="00A83D8D"/>
    <w:rsid w:val="00A844BF"/>
    <w:rsid w:val="00A879C4"/>
    <w:rsid w:val="00A91CF6"/>
    <w:rsid w:val="00A92274"/>
    <w:rsid w:val="00A944AB"/>
    <w:rsid w:val="00A95ABB"/>
    <w:rsid w:val="00A9744C"/>
    <w:rsid w:val="00AA04F2"/>
    <w:rsid w:val="00AA4ADD"/>
    <w:rsid w:val="00AA5EF9"/>
    <w:rsid w:val="00AB064B"/>
    <w:rsid w:val="00AB1E9D"/>
    <w:rsid w:val="00AB2D8D"/>
    <w:rsid w:val="00AB466C"/>
    <w:rsid w:val="00AB4FFA"/>
    <w:rsid w:val="00AC0F98"/>
    <w:rsid w:val="00AC6DEF"/>
    <w:rsid w:val="00AD7D8A"/>
    <w:rsid w:val="00AE00E0"/>
    <w:rsid w:val="00AE12C8"/>
    <w:rsid w:val="00AE1494"/>
    <w:rsid w:val="00AE4557"/>
    <w:rsid w:val="00AE6544"/>
    <w:rsid w:val="00AF0114"/>
    <w:rsid w:val="00AF10D9"/>
    <w:rsid w:val="00AF1597"/>
    <w:rsid w:val="00AF1BF1"/>
    <w:rsid w:val="00AF4BF6"/>
    <w:rsid w:val="00AF52B4"/>
    <w:rsid w:val="00AF5978"/>
    <w:rsid w:val="00AF5BE3"/>
    <w:rsid w:val="00AF680A"/>
    <w:rsid w:val="00AF7199"/>
    <w:rsid w:val="00AF7988"/>
    <w:rsid w:val="00AF7E29"/>
    <w:rsid w:val="00B004D5"/>
    <w:rsid w:val="00B0227A"/>
    <w:rsid w:val="00B104A9"/>
    <w:rsid w:val="00B114A7"/>
    <w:rsid w:val="00B11F69"/>
    <w:rsid w:val="00B1373F"/>
    <w:rsid w:val="00B14AF2"/>
    <w:rsid w:val="00B24B69"/>
    <w:rsid w:val="00B24DCE"/>
    <w:rsid w:val="00B25FAB"/>
    <w:rsid w:val="00B2625B"/>
    <w:rsid w:val="00B27C3C"/>
    <w:rsid w:val="00B31CAF"/>
    <w:rsid w:val="00B322A3"/>
    <w:rsid w:val="00B33869"/>
    <w:rsid w:val="00B33CB9"/>
    <w:rsid w:val="00B344EB"/>
    <w:rsid w:val="00B352B8"/>
    <w:rsid w:val="00B41AC9"/>
    <w:rsid w:val="00B460EC"/>
    <w:rsid w:val="00B46A29"/>
    <w:rsid w:val="00B47E32"/>
    <w:rsid w:val="00B50EC4"/>
    <w:rsid w:val="00B51C79"/>
    <w:rsid w:val="00B5460A"/>
    <w:rsid w:val="00B6006D"/>
    <w:rsid w:val="00B6172B"/>
    <w:rsid w:val="00B61DA0"/>
    <w:rsid w:val="00B65A5B"/>
    <w:rsid w:val="00B66C64"/>
    <w:rsid w:val="00B73C48"/>
    <w:rsid w:val="00B74ACC"/>
    <w:rsid w:val="00B75492"/>
    <w:rsid w:val="00B7642A"/>
    <w:rsid w:val="00B7658E"/>
    <w:rsid w:val="00B776A3"/>
    <w:rsid w:val="00B777BE"/>
    <w:rsid w:val="00B803DB"/>
    <w:rsid w:val="00B804F0"/>
    <w:rsid w:val="00B85765"/>
    <w:rsid w:val="00B8671F"/>
    <w:rsid w:val="00B86BFA"/>
    <w:rsid w:val="00B87356"/>
    <w:rsid w:val="00B9076B"/>
    <w:rsid w:val="00B92E8C"/>
    <w:rsid w:val="00B92F58"/>
    <w:rsid w:val="00B932B3"/>
    <w:rsid w:val="00B960EF"/>
    <w:rsid w:val="00B9658B"/>
    <w:rsid w:val="00B976A3"/>
    <w:rsid w:val="00BA0D21"/>
    <w:rsid w:val="00BA6D30"/>
    <w:rsid w:val="00BB0C0B"/>
    <w:rsid w:val="00BB0DE5"/>
    <w:rsid w:val="00BC052B"/>
    <w:rsid w:val="00BC08C1"/>
    <w:rsid w:val="00BC1024"/>
    <w:rsid w:val="00BC4233"/>
    <w:rsid w:val="00BC58E2"/>
    <w:rsid w:val="00BC5995"/>
    <w:rsid w:val="00BC6E39"/>
    <w:rsid w:val="00BD0F7B"/>
    <w:rsid w:val="00BD399E"/>
    <w:rsid w:val="00BD5917"/>
    <w:rsid w:val="00BD787C"/>
    <w:rsid w:val="00BE3EBC"/>
    <w:rsid w:val="00BE3F88"/>
    <w:rsid w:val="00BE5EDA"/>
    <w:rsid w:val="00BE62CF"/>
    <w:rsid w:val="00BF0CE5"/>
    <w:rsid w:val="00BF13EE"/>
    <w:rsid w:val="00BF25FC"/>
    <w:rsid w:val="00BF2D28"/>
    <w:rsid w:val="00BF3594"/>
    <w:rsid w:val="00C00858"/>
    <w:rsid w:val="00C02371"/>
    <w:rsid w:val="00C02ADA"/>
    <w:rsid w:val="00C043B3"/>
    <w:rsid w:val="00C0451D"/>
    <w:rsid w:val="00C07D0C"/>
    <w:rsid w:val="00C10EA4"/>
    <w:rsid w:val="00C13AF9"/>
    <w:rsid w:val="00C16C29"/>
    <w:rsid w:val="00C17C46"/>
    <w:rsid w:val="00C22230"/>
    <w:rsid w:val="00C24DD9"/>
    <w:rsid w:val="00C250E8"/>
    <w:rsid w:val="00C2764E"/>
    <w:rsid w:val="00C30711"/>
    <w:rsid w:val="00C405D3"/>
    <w:rsid w:val="00C4065F"/>
    <w:rsid w:val="00C41D89"/>
    <w:rsid w:val="00C41FAA"/>
    <w:rsid w:val="00C42B03"/>
    <w:rsid w:val="00C442D8"/>
    <w:rsid w:val="00C448A4"/>
    <w:rsid w:val="00C47351"/>
    <w:rsid w:val="00C50AD3"/>
    <w:rsid w:val="00C529EE"/>
    <w:rsid w:val="00C52CEC"/>
    <w:rsid w:val="00C534F5"/>
    <w:rsid w:val="00C53ADF"/>
    <w:rsid w:val="00C555FD"/>
    <w:rsid w:val="00C56FD4"/>
    <w:rsid w:val="00C57BB4"/>
    <w:rsid w:val="00C64394"/>
    <w:rsid w:val="00C64418"/>
    <w:rsid w:val="00C6455B"/>
    <w:rsid w:val="00C6480F"/>
    <w:rsid w:val="00C660AE"/>
    <w:rsid w:val="00C66EA1"/>
    <w:rsid w:val="00C71634"/>
    <w:rsid w:val="00C7234D"/>
    <w:rsid w:val="00C7571B"/>
    <w:rsid w:val="00C763DE"/>
    <w:rsid w:val="00C76C85"/>
    <w:rsid w:val="00C774F2"/>
    <w:rsid w:val="00C800C9"/>
    <w:rsid w:val="00C816E9"/>
    <w:rsid w:val="00C819B7"/>
    <w:rsid w:val="00C85225"/>
    <w:rsid w:val="00C90E38"/>
    <w:rsid w:val="00C951EE"/>
    <w:rsid w:val="00C9546D"/>
    <w:rsid w:val="00C96F58"/>
    <w:rsid w:val="00CA1B06"/>
    <w:rsid w:val="00CA3FF5"/>
    <w:rsid w:val="00CA4131"/>
    <w:rsid w:val="00CA6A07"/>
    <w:rsid w:val="00CA7C65"/>
    <w:rsid w:val="00CB0FE5"/>
    <w:rsid w:val="00CB1677"/>
    <w:rsid w:val="00CB22C7"/>
    <w:rsid w:val="00CB4807"/>
    <w:rsid w:val="00CB5608"/>
    <w:rsid w:val="00CB5ED6"/>
    <w:rsid w:val="00CB5FA2"/>
    <w:rsid w:val="00CB6686"/>
    <w:rsid w:val="00CC0D47"/>
    <w:rsid w:val="00CC18DD"/>
    <w:rsid w:val="00CC33A6"/>
    <w:rsid w:val="00CC3AEB"/>
    <w:rsid w:val="00CC479C"/>
    <w:rsid w:val="00CC764F"/>
    <w:rsid w:val="00CD0813"/>
    <w:rsid w:val="00CD0BDD"/>
    <w:rsid w:val="00CD1D21"/>
    <w:rsid w:val="00CD3477"/>
    <w:rsid w:val="00CD3DAB"/>
    <w:rsid w:val="00CD4014"/>
    <w:rsid w:val="00CD4D3F"/>
    <w:rsid w:val="00CD5D08"/>
    <w:rsid w:val="00CD691C"/>
    <w:rsid w:val="00CD73DA"/>
    <w:rsid w:val="00CD7939"/>
    <w:rsid w:val="00CE0A6C"/>
    <w:rsid w:val="00CE19EF"/>
    <w:rsid w:val="00CE1DA8"/>
    <w:rsid w:val="00CE5123"/>
    <w:rsid w:val="00CF157C"/>
    <w:rsid w:val="00CF7993"/>
    <w:rsid w:val="00D00811"/>
    <w:rsid w:val="00D03B1E"/>
    <w:rsid w:val="00D04E76"/>
    <w:rsid w:val="00D05DC8"/>
    <w:rsid w:val="00D10439"/>
    <w:rsid w:val="00D10CEF"/>
    <w:rsid w:val="00D1472F"/>
    <w:rsid w:val="00D14908"/>
    <w:rsid w:val="00D15A3A"/>
    <w:rsid w:val="00D1789A"/>
    <w:rsid w:val="00D21D20"/>
    <w:rsid w:val="00D22BE1"/>
    <w:rsid w:val="00D23A0A"/>
    <w:rsid w:val="00D25AFE"/>
    <w:rsid w:val="00D25BB3"/>
    <w:rsid w:val="00D26504"/>
    <w:rsid w:val="00D32DA0"/>
    <w:rsid w:val="00D37536"/>
    <w:rsid w:val="00D40428"/>
    <w:rsid w:val="00D43147"/>
    <w:rsid w:val="00D4534B"/>
    <w:rsid w:val="00D45EC3"/>
    <w:rsid w:val="00D47773"/>
    <w:rsid w:val="00D51F94"/>
    <w:rsid w:val="00D52769"/>
    <w:rsid w:val="00D53061"/>
    <w:rsid w:val="00D5382E"/>
    <w:rsid w:val="00D60590"/>
    <w:rsid w:val="00D655E8"/>
    <w:rsid w:val="00D716DA"/>
    <w:rsid w:val="00D717EF"/>
    <w:rsid w:val="00D72502"/>
    <w:rsid w:val="00D72821"/>
    <w:rsid w:val="00D72E24"/>
    <w:rsid w:val="00D73409"/>
    <w:rsid w:val="00D775A9"/>
    <w:rsid w:val="00D84468"/>
    <w:rsid w:val="00D85176"/>
    <w:rsid w:val="00D8525C"/>
    <w:rsid w:val="00D85329"/>
    <w:rsid w:val="00D8557A"/>
    <w:rsid w:val="00D85E1E"/>
    <w:rsid w:val="00D900C2"/>
    <w:rsid w:val="00D90CA2"/>
    <w:rsid w:val="00D931C7"/>
    <w:rsid w:val="00D94B2B"/>
    <w:rsid w:val="00D96E21"/>
    <w:rsid w:val="00D979EB"/>
    <w:rsid w:val="00DA0376"/>
    <w:rsid w:val="00DA2A57"/>
    <w:rsid w:val="00DA2C39"/>
    <w:rsid w:val="00DA34CB"/>
    <w:rsid w:val="00DA52A1"/>
    <w:rsid w:val="00DA67A9"/>
    <w:rsid w:val="00DA68AB"/>
    <w:rsid w:val="00DA7A7D"/>
    <w:rsid w:val="00DB0233"/>
    <w:rsid w:val="00DB0E86"/>
    <w:rsid w:val="00DB277D"/>
    <w:rsid w:val="00DB3674"/>
    <w:rsid w:val="00DB4153"/>
    <w:rsid w:val="00DB44D5"/>
    <w:rsid w:val="00DB69C0"/>
    <w:rsid w:val="00DC007F"/>
    <w:rsid w:val="00DC14F4"/>
    <w:rsid w:val="00DC1BFA"/>
    <w:rsid w:val="00DC406F"/>
    <w:rsid w:val="00DC42F2"/>
    <w:rsid w:val="00DC5410"/>
    <w:rsid w:val="00DC594F"/>
    <w:rsid w:val="00DC77A1"/>
    <w:rsid w:val="00DC7E8A"/>
    <w:rsid w:val="00DD1720"/>
    <w:rsid w:val="00DD1C31"/>
    <w:rsid w:val="00DD294F"/>
    <w:rsid w:val="00DD5287"/>
    <w:rsid w:val="00DD59C5"/>
    <w:rsid w:val="00DD59F5"/>
    <w:rsid w:val="00DE13A2"/>
    <w:rsid w:val="00DE2B85"/>
    <w:rsid w:val="00DE6411"/>
    <w:rsid w:val="00DE6D57"/>
    <w:rsid w:val="00DE75C3"/>
    <w:rsid w:val="00DF416D"/>
    <w:rsid w:val="00DF491F"/>
    <w:rsid w:val="00DF694D"/>
    <w:rsid w:val="00DF6982"/>
    <w:rsid w:val="00E01EF4"/>
    <w:rsid w:val="00E047DA"/>
    <w:rsid w:val="00E04BB1"/>
    <w:rsid w:val="00E052D2"/>
    <w:rsid w:val="00E07A70"/>
    <w:rsid w:val="00E07B16"/>
    <w:rsid w:val="00E115BD"/>
    <w:rsid w:val="00E1260D"/>
    <w:rsid w:val="00E138D7"/>
    <w:rsid w:val="00E13AD6"/>
    <w:rsid w:val="00E13B39"/>
    <w:rsid w:val="00E17B47"/>
    <w:rsid w:val="00E202C8"/>
    <w:rsid w:val="00E205E3"/>
    <w:rsid w:val="00E222F8"/>
    <w:rsid w:val="00E26C7A"/>
    <w:rsid w:val="00E33020"/>
    <w:rsid w:val="00E338AD"/>
    <w:rsid w:val="00E35725"/>
    <w:rsid w:val="00E40F0E"/>
    <w:rsid w:val="00E43E98"/>
    <w:rsid w:val="00E45C1A"/>
    <w:rsid w:val="00E46D5C"/>
    <w:rsid w:val="00E47370"/>
    <w:rsid w:val="00E51038"/>
    <w:rsid w:val="00E51141"/>
    <w:rsid w:val="00E511A5"/>
    <w:rsid w:val="00E5367D"/>
    <w:rsid w:val="00E57685"/>
    <w:rsid w:val="00E57D5C"/>
    <w:rsid w:val="00E61844"/>
    <w:rsid w:val="00E61F0C"/>
    <w:rsid w:val="00E624A4"/>
    <w:rsid w:val="00E629E7"/>
    <w:rsid w:val="00E63751"/>
    <w:rsid w:val="00E6774B"/>
    <w:rsid w:val="00E705BC"/>
    <w:rsid w:val="00E70796"/>
    <w:rsid w:val="00E70A98"/>
    <w:rsid w:val="00E71CE8"/>
    <w:rsid w:val="00E72EDF"/>
    <w:rsid w:val="00E7511F"/>
    <w:rsid w:val="00E82E9F"/>
    <w:rsid w:val="00E85939"/>
    <w:rsid w:val="00E85AD5"/>
    <w:rsid w:val="00E86637"/>
    <w:rsid w:val="00E87EAD"/>
    <w:rsid w:val="00E97DC4"/>
    <w:rsid w:val="00EA0178"/>
    <w:rsid w:val="00EA0201"/>
    <w:rsid w:val="00EA3B7B"/>
    <w:rsid w:val="00EA700B"/>
    <w:rsid w:val="00EB4E9F"/>
    <w:rsid w:val="00EC08EC"/>
    <w:rsid w:val="00EC3DBD"/>
    <w:rsid w:val="00EC4710"/>
    <w:rsid w:val="00EC52CF"/>
    <w:rsid w:val="00EC533D"/>
    <w:rsid w:val="00ED0ECF"/>
    <w:rsid w:val="00ED3F00"/>
    <w:rsid w:val="00ED4924"/>
    <w:rsid w:val="00ED505F"/>
    <w:rsid w:val="00ED6C4C"/>
    <w:rsid w:val="00EE0B10"/>
    <w:rsid w:val="00EE2E11"/>
    <w:rsid w:val="00EE33C6"/>
    <w:rsid w:val="00EE40AE"/>
    <w:rsid w:val="00EE6378"/>
    <w:rsid w:val="00EE6639"/>
    <w:rsid w:val="00EE69D9"/>
    <w:rsid w:val="00EE7D12"/>
    <w:rsid w:val="00EF6BD5"/>
    <w:rsid w:val="00EF6D29"/>
    <w:rsid w:val="00EF6FB3"/>
    <w:rsid w:val="00F00FA9"/>
    <w:rsid w:val="00F01964"/>
    <w:rsid w:val="00F02C7D"/>
    <w:rsid w:val="00F05B49"/>
    <w:rsid w:val="00F0767A"/>
    <w:rsid w:val="00F1456A"/>
    <w:rsid w:val="00F148FB"/>
    <w:rsid w:val="00F156E0"/>
    <w:rsid w:val="00F21380"/>
    <w:rsid w:val="00F221AE"/>
    <w:rsid w:val="00F37C94"/>
    <w:rsid w:val="00F41C00"/>
    <w:rsid w:val="00F4218F"/>
    <w:rsid w:val="00F43BD7"/>
    <w:rsid w:val="00F4469D"/>
    <w:rsid w:val="00F46065"/>
    <w:rsid w:val="00F46C07"/>
    <w:rsid w:val="00F50495"/>
    <w:rsid w:val="00F517E9"/>
    <w:rsid w:val="00F57240"/>
    <w:rsid w:val="00F57995"/>
    <w:rsid w:val="00F63AAF"/>
    <w:rsid w:val="00F66342"/>
    <w:rsid w:val="00F66C2A"/>
    <w:rsid w:val="00F6708A"/>
    <w:rsid w:val="00F670C6"/>
    <w:rsid w:val="00F73881"/>
    <w:rsid w:val="00F7430A"/>
    <w:rsid w:val="00F772EA"/>
    <w:rsid w:val="00F773E9"/>
    <w:rsid w:val="00F77B5D"/>
    <w:rsid w:val="00F80A54"/>
    <w:rsid w:val="00F8223B"/>
    <w:rsid w:val="00F833CB"/>
    <w:rsid w:val="00F90A58"/>
    <w:rsid w:val="00F92356"/>
    <w:rsid w:val="00F92520"/>
    <w:rsid w:val="00F92613"/>
    <w:rsid w:val="00F92E66"/>
    <w:rsid w:val="00F940C3"/>
    <w:rsid w:val="00F96922"/>
    <w:rsid w:val="00F96D1E"/>
    <w:rsid w:val="00FA1B0B"/>
    <w:rsid w:val="00FA7FD9"/>
    <w:rsid w:val="00FB1BF0"/>
    <w:rsid w:val="00FB2CEF"/>
    <w:rsid w:val="00FB3B43"/>
    <w:rsid w:val="00FB3B65"/>
    <w:rsid w:val="00FB5413"/>
    <w:rsid w:val="00FB65F0"/>
    <w:rsid w:val="00FC15AA"/>
    <w:rsid w:val="00FC1B0D"/>
    <w:rsid w:val="00FC33CF"/>
    <w:rsid w:val="00FC7114"/>
    <w:rsid w:val="00FD05ED"/>
    <w:rsid w:val="00FD208D"/>
    <w:rsid w:val="00FD3856"/>
    <w:rsid w:val="00FD455F"/>
    <w:rsid w:val="00FD6CF7"/>
    <w:rsid w:val="00FD7234"/>
    <w:rsid w:val="00FE1728"/>
    <w:rsid w:val="00FE1BDF"/>
    <w:rsid w:val="00FE2F2E"/>
    <w:rsid w:val="00FE39E6"/>
    <w:rsid w:val="00FE5CEC"/>
    <w:rsid w:val="00FF33BE"/>
    <w:rsid w:val="00FF4052"/>
    <w:rsid w:val="00FF4DE8"/>
    <w:rsid w:val="06654958"/>
    <w:rsid w:val="115C3DF7"/>
    <w:rsid w:val="1421732F"/>
    <w:rsid w:val="14C03D4A"/>
    <w:rsid w:val="1915226F"/>
    <w:rsid w:val="1D1A76CF"/>
    <w:rsid w:val="1FDA4BC3"/>
    <w:rsid w:val="24C97405"/>
    <w:rsid w:val="265C5E90"/>
    <w:rsid w:val="29424F58"/>
    <w:rsid w:val="2D2F27D8"/>
    <w:rsid w:val="30E27C07"/>
    <w:rsid w:val="37115DB7"/>
    <w:rsid w:val="39A63676"/>
    <w:rsid w:val="3EB87567"/>
    <w:rsid w:val="402A31BD"/>
    <w:rsid w:val="44AB67AC"/>
    <w:rsid w:val="464E125A"/>
    <w:rsid w:val="4661696D"/>
    <w:rsid w:val="4FBD71AE"/>
    <w:rsid w:val="508016F9"/>
    <w:rsid w:val="5C9A2B07"/>
    <w:rsid w:val="6253470D"/>
    <w:rsid w:val="654F15A3"/>
    <w:rsid w:val="6D34281F"/>
    <w:rsid w:val="6E3524BF"/>
    <w:rsid w:val="74EA31AC"/>
    <w:rsid w:val="75857EAD"/>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5EA5B30"/>
  <w15:docId w15:val="{07222D56-1520-4899-92DA-7FE6082F2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061B"/>
    <w:rPr>
      <w:rFonts w:ascii="Times" w:eastAsia="Batang" w:hAnsi="Times" w:cs="Times New Roman"/>
    </w:rPr>
  </w:style>
  <w:style w:type="paragraph" w:styleId="1">
    <w:name w:val="heading 1"/>
    <w:basedOn w:val="a"/>
    <w:next w:val="a"/>
    <w:link w:val="10"/>
    <w:uiPriority w:val="9"/>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9">
    <w:name w:val="heading 9"/>
    <w:basedOn w:val="a"/>
    <w:next w:val="a"/>
    <w:link w:val="90"/>
    <w:semiHidden/>
    <w:unhideWhenUsed/>
    <w:qFormat/>
    <w:rsid w:val="0042509E"/>
    <w:pPr>
      <w:keepNext/>
      <w:keepLines/>
      <w:spacing w:before="40"/>
      <w:outlineLvl w:val="8"/>
    </w:pPr>
    <w:rPr>
      <w:rFonts w:ascii="Arial" w:eastAsia="MS Mincho" w:hAnsi="Arial" w:cs="Arial"/>
      <w:b/>
      <w:szCs w:val="22"/>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af">
    <w:name w:val="annotation subject"/>
    <w:basedOn w:val="a3"/>
    <w:next w:val="a3"/>
    <w:link w:val="af0"/>
    <w:uiPriority w:val="99"/>
    <w:semiHidden/>
    <w:unhideWhenUsed/>
    <w:qFormat/>
    <w:rPr>
      <w:b/>
      <w:bCs/>
    </w:rPr>
  </w:style>
  <w:style w:type="table" w:styleId="af1">
    <w:name w:val="Table Grid"/>
    <w:aliases w:val="Table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uiPriority w:val="99"/>
    <w:unhideWhenUsed/>
    <w:qFormat/>
    <w:rPr>
      <w:color w:val="0000FF"/>
      <w:u w:val="single"/>
    </w:rPr>
  </w:style>
  <w:style w:type="character" w:styleId="af3">
    <w:name w:val="annotation reference"/>
    <w:basedOn w:val="a0"/>
    <w:unhideWhenUsed/>
    <w:qFormat/>
    <w:rPr>
      <w:sz w:val="21"/>
      <w:szCs w:val="21"/>
    </w:rPr>
  </w:style>
  <w:style w:type="paragraph" w:styleId="af4">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5"/>
    <w:uiPriority w:val="34"/>
    <w:qFormat/>
    <w:pPr>
      <w:ind w:left="720"/>
      <w:contextualSpacing/>
    </w:pPr>
  </w:style>
  <w:style w:type="character" w:customStyle="1" w:styleId="30">
    <w:name w:val="标题 3 字符"/>
    <w:basedOn w:val="a0"/>
    <w:link w:val="3"/>
    <w:uiPriority w:val="9"/>
    <w:semiHidden/>
    <w:qFormat/>
    <w:rPr>
      <w:rFonts w:asciiTheme="majorHAnsi" w:eastAsiaTheme="majorEastAsia" w:hAnsiTheme="majorHAnsi" w:cstheme="majorBidi"/>
      <w:color w:val="1F3864" w:themeColor="accent1" w:themeShade="80"/>
      <w:sz w:val="24"/>
      <w:szCs w:val="24"/>
    </w:rPr>
  </w:style>
  <w:style w:type="character" w:customStyle="1" w:styleId="af5">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4"/>
    <w:uiPriority w:val="34"/>
    <w:qFormat/>
  </w:style>
  <w:style w:type="character" w:customStyle="1" w:styleId="10">
    <w:name w:val="标题 1 字符"/>
    <w:basedOn w:val="a0"/>
    <w:link w:val="1"/>
    <w:uiPriority w:val="9"/>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0">
    <w:name w:val="批注主题 字符"/>
    <w:basedOn w:val="a4"/>
    <w:link w:val="af"/>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a"/>
    <w:uiPriority w:val="99"/>
    <w:qFormat/>
    <w:pPr>
      <w:tabs>
        <w:tab w:val="left" w:pos="612"/>
        <w:tab w:val="left" w:pos="1619"/>
      </w:tabs>
      <w:spacing w:before="60"/>
    </w:pPr>
    <w:rPr>
      <w:rFonts w:ascii="Arial" w:eastAsia="MS Mincho" w:hAnsi="Arial"/>
      <w:b/>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0">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1">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2"/>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rsid w:val="00547D42"/>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rsid w:val="00E35725"/>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styleId="af6">
    <w:name w:val="Normal (Web)"/>
    <w:basedOn w:val="a"/>
    <w:uiPriority w:val="99"/>
    <w:semiHidden/>
    <w:unhideWhenUsed/>
    <w:rsid w:val="00CC764F"/>
    <w:pPr>
      <w:spacing w:before="100" w:beforeAutospacing="1" w:after="100" w:afterAutospacing="1"/>
    </w:pPr>
    <w:rPr>
      <w:rFonts w:ascii="宋体" w:eastAsia="宋体" w:hAnsi="宋体" w:cs="宋体"/>
      <w:sz w:val="24"/>
      <w:szCs w:val="24"/>
    </w:rPr>
  </w:style>
  <w:style w:type="paragraph" w:customStyle="1" w:styleId="NO">
    <w:name w:val="NO"/>
    <w:basedOn w:val="a"/>
    <w:link w:val="NOChar"/>
    <w:qFormat/>
    <w:rsid w:val="00CC764F"/>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sid w:val="00CC764F"/>
    <w:rPr>
      <w:rFonts w:ascii="Times New Roman" w:eastAsia="Times New Roman" w:hAnsi="Times New Roman" w:cs="Times New Roman"/>
      <w:lang w:val="en-GB" w:eastAsia="ja-JP"/>
    </w:rPr>
  </w:style>
  <w:style w:type="character" w:customStyle="1" w:styleId="B1Char1">
    <w:name w:val="B1 Char1"/>
    <w:link w:val="B1"/>
    <w:qFormat/>
    <w:rsid w:val="00CC764F"/>
    <w:rPr>
      <w:rFonts w:ascii="Times New Roman" w:hAnsi="Times New Roman" w:cs="Times New Roman"/>
      <w:sz w:val="24"/>
      <w:szCs w:val="24"/>
    </w:rPr>
  </w:style>
  <w:style w:type="character" w:customStyle="1" w:styleId="B2Char">
    <w:name w:val="B2 Char"/>
    <w:link w:val="B2"/>
    <w:qFormat/>
    <w:rsid w:val="00CC764F"/>
    <w:rPr>
      <w:rFonts w:ascii="Times New Roman" w:hAnsi="Times New Roman" w:cs="Times New Roman"/>
      <w:sz w:val="24"/>
      <w:szCs w:val="24"/>
    </w:rPr>
  </w:style>
  <w:style w:type="paragraph" w:customStyle="1" w:styleId="B3">
    <w:name w:val="B3"/>
    <w:basedOn w:val="32"/>
    <w:link w:val="B3Char2"/>
    <w:qFormat/>
    <w:rsid w:val="00CC764F"/>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sid w:val="00CC764F"/>
    <w:rPr>
      <w:rFonts w:ascii="Times New Roman" w:eastAsia="Times New Roman" w:hAnsi="Times New Roman" w:cs="Times New Roman"/>
      <w:lang w:val="en-GB" w:eastAsia="ja-JP"/>
    </w:rPr>
  </w:style>
  <w:style w:type="paragraph" w:styleId="32">
    <w:name w:val="List 3"/>
    <w:basedOn w:val="a"/>
    <w:uiPriority w:val="99"/>
    <w:semiHidden/>
    <w:unhideWhenUsed/>
    <w:rsid w:val="00CC764F"/>
    <w:pPr>
      <w:ind w:leftChars="400" w:left="100" w:hangingChars="200" w:hanging="200"/>
      <w:contextualSpacing/>
    </w:pPr>
  </w:style>
  <w:style w:type="paragraph" w:customStyle="1" w:styleId="B4">
    <w:name w:val="B4"/>
    <w:basedOn w:val="40"/>
    <w:rsid w:val="009B4D2E"/>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styleId="40">
    <w:name w:val="List 4"/>
    <w:basedOn w:val="a"/>
    <w:uiPriority w:val="99"/>
    <w:semiHidden/>
    <w:unhideWhenUsed/>
    <w:rsid w:val="009B4D2E"/>
    <w:pPr>
      <w:ind w:leftChars="600" w:left="100" w:hangingChars="200" w:hanging="200"/>
      <w:contextualSpacing/>
    </w:pPr>
  </w:style>
  <w:style w:type="paragraph" w:customStyle="1" w:styleId="21">
    <w:name w:val="正文2"/>
    <w:rsid w:val="007E298D"/>
    <w:pPr>
      <w:jc w:val="both"/>
    </w:pPr>
    <w:rPr>
      <w:kern w:val="2"/>
      <w:sz w:val="21"/>
      <w:szCs w:val="21"/>
    </w:rPr>
  </w:style>
  <w:style w:type="table" w:customStyle="1" w:styleId="14">
    <w:name w:val="网格型1"/>
    <w:basedOn w:val="a1"/>
    <w:next w:val="af1"/>
    <w:uiPriority w:val="39"/>
    <w:qFormat/>
    <w:rsid w:val="0042509E"/>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标题 9 字符"/>
    <w:basedOn w:val="a0"/>
    <w:link w:val="9"/>
    <w:rsid w:val="0042509E"/>
    <w:rPr>
      <w:rFonts w:ascii="Arial" w:eastAsia="MS Mincho" w:hAnsi="Arial" w:cs="Arial"/>
      <w:b/>
      <w:szCs w:val="22"/>
      <w:lang w:eastAsia="en-GB"/>
    </w:rPr>
  </w:style>
  <w:style w:type="character" w:customStyle="1" w:styleId="91">
    <w:name w:val="标题 9 字符1"/>
    <w:basedOn w:val="a0"/>
    <w:uiPriority w:val="9"/>
    <w:semiHidden/>
    <w:rsid w:val="0042509E"/>
    <w:rPr>
      <w:rFonts w:asciiTheme="majorHAnsi" w:eastAsiaTheme="majorEastAsia" w:hAnsiTheme="majorHAnsi" w:cstheme="majorBidi"/>
      <w:i/>
      <w:iCs/>
      <w:color w:val="272727" w:themeColor="text1" w:themeTint="D8"/>
      <w:sz w:val="21"/>
      <w:szCs w:val="21"/>
    </w:rPr>
  </w:style>
  <w:style w:type="character" w:customStyle="1" w:styleId="B1Char">
    <w:name w:val="B1 Char"/>
    <w:qFormat/>
    <w:rsid w:val="0031061B"/>
    <w:rPr>
      <w:rFonts w:eastAsia="Times New Roman"/>
    </w:rPr>
  </w:style>
  <w:style w:type="paragraph" w:styleId="af7">
    <w:name w:val="Revision"/>
    <w:hidden/>
    <w:uiPriority w:val="99"/>
    <w:semiHidden/>
    <w:rsid w:val="00101705"/>
    <w:rPr>
      <w:rFonts w:ascii="Times" w:eastAsia="Batang" w:hAnsi="Time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5155">
      <w:bodyDiv w:val="1"/>
      <w:marLeft w:val="0"/>
      <w:marRight w:val="0"/>
      <w:marTop w:val="0"/>
      <w:marBottom w:val="0"/>
      <w:divBdr>
        <w:top w:val="none" w:sz="0" w:space="0" w:color="auto"/>
        <w:left w:val="none" w:sz="0" w:space="0" w:color="auto"/>
        <w:bottom w:val="none" w:sz="0" w:space="0" w:color="auto"/>
        <w:right w:val="none" w:sz="0" w:space="0" w:color="auto"/>
      </w:divBdr>
      <w:divsChild>
        <w:div w:id="993071262">
          <w:marLeft w:val="0"/>
          <w:marRight w:val="0"/>
          <w:marTop w:val="0"/>
          <w:marBottom w:val="0"/>
          <w:divBdr>
            <w:top w:val="none" w:sz="0" w:space="0" w:color="auto"/>
            <w:left w:val="none" w:sz="0" w:space="0" w:color="auto"/>
            <w:bottom w:val="none" w:sz="0" w:space="0" w:color="auto"/>
            <w:right w:val="none" w:sz="0" w:space="0" w:color="auto"/>
          </w:divBdr>
        </w:div>
      </w:divsChild>
    </w:div>
    <w:div w:id="31544979">
      <w:bodyDiv w:val="1"/>
      <w:marLeft w:val="0"/>
      <w:marRight w:val="0"/>
      <w:marTop w:val="0"/>
      <w:marBottom w:val="0"/>
      <w:divBdr>
        <w:top w:val="none" w:sz="0" w:space="0" w:color="auto"/>
        <w:left w:val="none" w:sz="0" w:space="0" w:color="auto"/>
        <w:bottom w:val="none" w:sz="0" w:space="0" w:color="auto"/>
        <w:right w:val="none" w:sz="0" w:space="0" w:color="auto"/>
      </w:divBdr>
      <w:divsChild>
        <w:div w:id="642344257">
          <w:marLeft w:val="0"/>
          <w:marRight w:val="0"/>
          <w:marTop w:val="0"/>
          <w:marBottom w:val="0"/>
          <w:divBdr>
            <w:top w:val="none" w:sz="0" w:space="0" w:color="auto"/>
            <w:left w:val="none" w:sz="0" w:space="0" w:color="auto"/>
            <w:bottom w:val="none" w:sz="0" w:space="0" w:color="auto"/>
            <w:right w:val="none" w:sz="0" w:space="0" w:color="auto"/>
          </w:divBdr>
        </w:div>
      </w:divsChild>
    </w:div>
    <w:div w:id="46223431">
      <w:bodyDiv w:val="1"/>
      <w:marLeft w:val="0"/>
      <w:marRight w:val="0"/>
      <w:marTop w:val="0"/>
      <w:marBottom w:val="0"/>
      <w:divBdr>
        <w:top w:val="none" w:sz="0" w:space="0" w:color="auto"/>
        <w:left w:val="none" w:sz="0" w:space="0" w:color="auto"/>
        <w:bottom w:val="none" w:sz="0" w:space="0" w:color="auto"/>
        <w:right w:val="none" w:sz="0" w:space="0" w:color="auto"/>
      </w:divBdr>
    </w:div>
    <w:div w:id="124541011">
      <w:bodyDiv w:val="1"/>
      <w:marLeft w:val="0"/>
      <w:marRight w:val="0"/>
      <w:marTop w:val="0"/>
      <w:marBottom w:val="0"/>
      <w:divBdr>
        <w:top w:val="none" w:sz="0" w:space="0" w:color="auto"/>
        <w:left w:val="none" w:sz="0" w:space="0" w:color="auto"/>
        <w:bottom w:val="none" w:sz="0" w:space="0" w:color="auto"/>
        <w:right w:val="none" w:sz="0" w:space="0" w:color="auto"/>
      </w:divBdr>
    </w:div>
    <w:div w:id="176386153">
      <w:bodyDiv w:val="1"/>
      <w:marLeft w:val="0"/>
      <w:marRight w:val="0"/>
      <w:marTop w:val="0"/>
      <w:marBottom w:val="0"/>
      <w:divBdr>
        <w:top w:val="none" w:sz="0" w:space="0" w:color="auto"/>
        <w:left w:val="none" w:sz="0" w:space="0" w:color="auto"/>
        <w:bottom w:val="none" w:sz="0" w:space="0" w:color="auto"/>
        <w:right w:val="none" w:sz="0" w:space="0" w:color="auto"/>
      </w:divBdr>
    </w:div>
    <w:div w:id="221795955">
      <w:bodyDiv w:val="1"/>
      <w:marLeft w:val="0"/>
      <w:marRight w:val="0"/>
      <w:marTop w:val="0"/>
      <w:marBottom w:val="0"/>
      <w:divBdr>
        <w:top w:val="none" w:sz="0" w:space="0" w:color="auto"/>
        <w:left w:val="none" w:sz="0" w:space="0" w:color="auto"/>
        <w:bottom w:val="none" w:sz="0" w:space="0" w:color="auto"/>
        <w:right w:val="none" w:sz="0" w:space="0" w:color="auto"/>
      </w:divBdr>
    </w:div>
    <w:div w:id="253172680">
      <w:bodyDiv w:val="1"/>
      <w:marLeft w:val="0"/>
      <w:marRight w:val="0"/>
      <w:marTop w:val="0"/>
      <w:marBottom w:val="0"/>
      <w:divBdr>
        <w:top w:val="none" w:sz="0" w:space="0" w:color="auto"/>
        <w:left w:val="none" w:sz="0" w:space="0" w:color="auto"/>
        <w:bottom w:val="none" w:sz="0" w:space="0" w:color="auto"/>
        <w:right w:val="none" w:sz="0" w:space="0" w:color="auto"/>
      </w:divBdr>
    </w:div>
    <w:div w:id="304631570">
      <w:bodyDiv w:val="1"/>
      <w:marLeft w:val="0"/>
      <w:marRight w:val="0"/>
      <w:marTop w:val="0"/>
      <w:marBottom w:val="0"/>
      <w:divBdr>
        <w:top w:val="none" w:sz="0" w:space="0" w:color="auto"/>
        <w:left w:val="none" w:sz="0" w:space="0" w:color="auto"/>
        <w:bottom w:val="none" w:sz="0" w:space="0" w:color="auto"/>
        <w:right w:val="none" w:sz="0" w:space="0" w:color="auto"/>
      </w:divBdr>
    </w:div>
    <w:div w:id="308559418">
      <w:bodyDiv w:val="1"/>
      <w:marLeft w:val="0"/>
      <w:marRight w:val="0"/>
      <w:marTop w:val="0"/>
      <w:marBottom w:val="0"/>
      <w:divBdr>
        <w:top w:val="none" w:sz="0" w:space="0" w:color="auto"/>
        <w:left w:val="none" w:sz="0" w:space="0" w:color="auto"/>
        <w:bottom w:val="none" w:sz="0" w:space="0" w:color="auto"/>
        <w:right w:val="none" w:sz="0" w:space="0" w:color="auto"/>
      </w:divBdr>
    </w:div>
    <w:div w:id="438526112">
      <w:bodyDiv w:val="1"/>
      <w:marLeft w:val="0"/>
      <w:marRight w:val="0"/>
      <w:marTop w:val="0"/>
      <w:marBottom w:val="0"/>
      <w:divBdr>
        <w:top w:val="none" w:sz="0" w:space="0" w:color="auto"/>
        <w:left w:val="none" w:sz="0" w:space="0" w:color="auto"/>
        <w:bottom w:val="none" w:sz="0" w:space="0" w:color="auto"/>
        <w:right w:val="none" w:sz="0" w:space="0" w:color="auto"/>
      </w:divBdr>
    </w:div>
    <w:div w:id="454445794">
      <w:bodyDiv w:val="1"/>
      <w:marLeft w:val="0"/>
      <w:marRight w:val="0"/>
      <w:marTop w:val="0"/>
      <w:marBottom w:val="0"/>
      <w:divBdr>
        <w:top w:val="none" w:sz="0" w:space="0" w:color="auto"/>
        <w:left w:val="none" w:sz="0" w:space="0" w:color="auto"/>
        <w:bottom w:val="none" w:sz="0" w:space="0" w:color="auto"/>
        <w:right w:val="none" w:sz="0" w:space="0" w:color="auto"/>
      </w:divBdr>
    </w:div>
    <w:div w:id="506553949">
      <w:bodyDiv w:val="1"/>
      <w:marLeft w:val="0"/>
      <w:marRight w:val="0"/>
      <w:marTop w:val="0"/>
      <w:marBottom w:val="0"/>
      <w:divBdr>
        <w:top w:val="none" w:sz="0" w:space="0" w:color="auto"/>
        <w:left w:val="none" w:sz="0" w:space="0" w:color="auto"/>
        <w:bottom w:val="none" w:sz="0" w:space="0" w:color="auto"/>
        <w:right w:val="none" w:sz="0" w:space="0" w:color="auto"/>
      </w:divBdr>
    </w:div>
    <w:div w:id="510335959">
      <w:bodyDiv w:val="1"/>
      <w:marLeft w:val="0"/>
      <w:marRight w:val="0"/>
      <w:marTop w:val="0"/>
      <w:marBottom w:val="0"/>
      <w:divBdr>
        <w:top w:val="none" w:sz="0" w:space="0" w:color="auto"/>
        <w:left w:val="none" w:sz="0" w:space="0" w:color="auto"/>
        <w:bottom w:val="none" w:sz="0" w:space="0" w:color="auto"/>
        <w:right w:val="none" w:sz="0" w:space="0" w:color="auto"/>
      </w:divBdr>
    </w:div>
    <w:div w:id="525675966">
      <w:bodyDiv w:val="1"/>
      <w:marLeft w:val="0"/>
      <w:marRight w:val="0"/>
      <w:marTop w:val="0"/>
      <w:marBottom w:val="0"/>
      <w:divBdr>
        <w:top w:val="none" w:sz="0" w:space="0" w:color="auto"/>
        <w:left w:val="none" w:sz="0" w:space="0" w:color="auto"/>
        <w:bottom w:val="none" w:sz="0" w:space="0" w:color="auto"/>
        <w:right w:val="none" w:sz="0" w:space="0" w:color="auto"/>
      </w:divBdr>
    </w:div>
    <w:div w:id="535313268">
      <w:bodyDiv w:val="1"/>
      <w:marLeft w:val="0"/>
      <w:marRight w:val="0"/>
      <w:marTop w:val="0"/>
      <w:marBottom w:val="0"/>
      <w:divBdr>
        <w:top w:val="none" w:sz="0" w:space="0" w:color="auto"/>
        <w:left w:val="none" w:sz="0" w:space="0" w:color="auto"/>
        <w:bottom w:val="none" w:sz="0" w:space="0" w:color="auto"/>
        <w:right w:val="none" w:sz="0" w:space="0" w:color="auto"/>
      </w:divBdr>
    </w:div>
    <w:div w:id="568149833">
      <w:bodyDiv w:val="1"/>
      <w:marLeft w:val="0"/>
      <w:marRight w:val="0"/>
      <w:marTop w:val="0"/>
      <w:marBottom w:val="0"/>
      <w:divBdr>
        <w:top w:val="none" w:sz="0" w:space="0" w:color="auto"/>
        <w:left w:val="none" w:sz="0" w:space="0" w:color="auto"/>
        <w:bottom w:val="none" w:sz="0" w:space="0" w:color="auto"/>
        <w:right w:val="none" w:sz="0" w:space="0" w:color="auto"/>
      </w:divBdr>
    </w:div>
    <w:div w:id="593973479">
      <w:bodyDiv w:val="1"/>
      <w:marLeft w:val="0"/>
      <w:marRight w:val="0"/>
      <w:marTop w:val="0"/>
      <w:marBottom w:val="0"/>
      <w:divBdr>
        <w:top w:val="none" w:sz="0" w:space="0" w:color="auto"/>
        <w:left w:val="none" w:sz="0" w:space="0" w:color="auto"/>
        <w:bottom w:val="none" w:sz="0" w:space="0" w:color="auto"/>
        <w:right w:val="none" w:sz="0" w:space="0" w:color="auto"/>
      </w:divBdr>
    </w:div>
    <w:div w:id="599680311">
      <w:bodyDiv w:val="1"/>
      <w:marLeft w:val="0"/>
      <w:marRight w:val="0"/>
      <w:marTop w:val="0"/>
      <w:marBottom w:val="0"/>
      <w:divBdr>
        <w:top w:val="none" w:sz="0" w:space="0" w:color="auto"/>
        <w:left w:val="none" w:sz="0" w:space="0" w:color="auto"/>
        <w:bottom w:val="none" w:sz="0" w:space="0" w:color="auto"/>
        <w:right w:val="none" w:sz="0" w:space="0" w:color="auto"/>
      </w:divBdr>
    </w:div>
    <w:div w:id="631133658">
      <w:bodyDiv w:val="1"/>
      <w:marLeft w:val="0"/>
      <w:marRight w:val="0"/>
      <w:marTop w:val="0"/>
      <w:marBottom w:val="0"/>
      <w:divBdr>
        <w:top w:val="none" w:sz="0" w:space="0" w:color="auto"/>
        <w:left w:val="none" w:sz="0" w:space="0" w:color="auto"/>
        <w:bottom w:val="none" w:sz="0" w:space="0" w:color="auto"/>
        <w:right w:val="none" w:sz="0" w:space="0" w:color="auto"/>
      </w:divBdr>
    </w:div>
    <w:div w:id="665977064">
      <w:bodyDiv w:val="1"/>
      <w:marLeft w:val="0"/>
      <w:marRight w:val="0"/>
      <w:marTop w:val="0"/>
      <w:marBottom w:val="0"/>
      <w:divBdr>
        <w:top w:val="none" w:sz="0" w:space="0" w:color="auto"/>
        <w:left w:val="none" w:sz="0" w:space="0" w:color="auto"/>
        <w:bottom w:val="none" w:sz="0" w:space="0" w:color="auto"/>
        <w:right w:val="none" w:sz="0" w:space="0" w:color="auto"/>
      </w:divBdr>
    </w:div>
    <w:div w:id="690957232">
      <w:bodyDiv w:val="1"/>
      <w:marLeft w:val="0"/>
      <w:marRight w:val="0"/>
      <w:marTop w:val="0"/>
      <w:marBottom w:val="0"/>
      <w:divBdr>
        <w:top w:val="none" w:sz="0" w:space="0" w:color="auto"/>
        <w:left w:val="none" w:sz="0" w:space="0" w:color="auto"/>
        <w:bottom w:val="none" w:sz="0" w:space="0" w:color="auto"/>
        <w:right w:val="none" w:sz="0" w:space="0" w:color="auto"/>
      </w:divBdr>
    </w:div>
    <w:div w:id="702563148">
      <w:bodyDiv w:val="1"/>
      <w:marLeft w:val="0"/>
      <w:marRight w:val="0"/>
      <w:marTop w:val="0"/>
      <w:marBottom w:val="0"/>
      <w:divBdr>
        <w:top w:val="none" w:sz="0" w:space="0" w:color="auto"/>
        <w:left w:val="none" w:sz="0" w:space="0" w:color="auto"/>
        <w:bottom w:val="none" w:sz="0" w:space="0" w:color="auto"/>
        <w:right w:val="none" w:sz="0" w:space="0" w:color="auto"/>
      </w:divBdr>
    </w:div>
    <w:div w:id="729966589">
      <w:bodyDiv w:val="1"/>
      <w:marLeft w:val="0"/>
      <w:marRight w:val="0"/>
      <w:marTop w:val="0"/>
      <w:marBottom w:val="0"/>
      <w:divBdr>
        <w:top w:val="none" w:sz="0" w:space="0" w:color="auto"/>
        <w:left w:val="none" w:sz="0" w:space="0" w:color="auto"/>
        <w:bottom w:val="none" w:sz="0" w:space="0" w:color="auto"/>
        <w:right w:val="none" w:sz="0" w:space="0" w:color="auto"/>
      </w:divBdr>
    </w:div>
    <w:div w:id="737246896">
      <w:bodyDiv w:val="1"/>
      <w:marLeft w:val="0"/>
      <w:marRight w:val="0"/>
      <w:marTop w:val="0"/>
      <w:marBottom w:val="0"/>
      <w:divBdr>
        <w:top w:val="none" w:sz="0" w:space="0" w:color="auto"/>
        <w:left w:val="none" w:sz="0" w:space="0" w:color="auto"/>
        <w:bottom w:val="none" w:sz="0" w:space="0" w:color="auto"/>
        <w:right w:val="none" w:sz="0" w:space="0" w:color="auto"/>
      </w:divBdr>
    </w:div>
    <w:div w:id="741296613">
      <w:bodyDiv w:val="1"/>
      <w:marLeft w:val="0"/>
      <w:marRight w:val="0"/>
      <w:marTop w:val="0"/>
      <w:marBottom w:val="0"/>
      <w:divBdr>
        <w:top w:val="none" w:sz="0" w:space="0" w:color="auto"/>
        <w:left w:val="none" w:sz="0" w:space="0" w:color="auto"/>
        <w:bottom w:val="none" w:sz="0" w:space="0" w:color="auto"/>
        <w:right w:val="none" w:sz="0" w:space="0" w:color="auto"/>
      </w:divBdr>
    </w:div>
    <w:div w:id="825392413">
      <w:bodyDiv w:val="1"/>
      <w:marLeft w:val="0"/>
      <w:marRight w:val="0"/>
      <w:marTop w:val="0"/>
      <w:marBottom w:val="0"/>
      <w:divBdr>
        <w:top w:val="none" w:sz="0" w:space="0" w:color="auto"/>
        <w:left w:val="none" w:sz="0" w:space="0" w:color="auto"/>
        <w:bottom w:val="none" w:sz="0" w:space="0" w:color="auto"/>
        <w:right w:val="none" w:sz="0" w:space="0" w:color="auto"/>
      </w:divBdr>
    </w:div>
    <w:div w:id="897864070">
      <w:bodyDiv w:val="1"/>
      <w:marLeft w:val="0"/>
      <w:marRight w:val="0"/>
      <w:marTop w:val="0"/>
      <w:marBottom w:val="0"/>
      <w:divBdr>
        <w:top w:val="none" w:sz="0" w:space="0" w:color="auto"/>
        <w:left w:val="none" w:sz="0" w:space="0" w:color="auto"/>
        <w:bottom w:val="none" w:sz="0" w:space="0" w:color="auto"/>
        <w:right w:val="none" w:sz="0" w:space="0" w:color="auto"/>
      </w:divBdr>
    </w:div>
    <w:div w:id="946736152">
      <w:bodyDiv w:val="1"/>
      <w:marLeft w:val="0"/>
      <w:marRight w:val="0"/>
      <w:marTop w:val="0"/>
      <w:marBottom w:val="0"/>
      <w:divBdr>
        <w:top w:val="none" w:sz="0" w:space="0" w:color="auto"/>
        <w:left w:val="none" w:sz="0" w:space="0" w:color="auto"/>
        <w:bottom w:val="none" w:sz="0" w:space="0" w:color="auto"/>
        <w:right w:val="none" w:sz="0" w:space="0" w:color="auto"/>
      </w:divBdr>
    </w:div>
    <w:div w:id="955524123">
      <w:bodyDiv w:val="1"/>
      <w:marLeft w:val="0"/>
      <w:marRight w:val="0"/>
      <w:marTop w:val="0"/>
      <w:marBottom w:val="0"/>
      <w:divBdr>
        <w:top w:val="none" w:sz="0" w:space="0" w:color="auto"/>
        <w:left w:val="none" w:sz="0" w:space="0" w:color="auto"/>
        <w:bottom w:val="none" w:sz="0" w:space="0" w:color="auto"/>
        <w:right w:val="none" w:sz="0" w:space="0" w:color="auto"/>
      </w:divBdr>
    </w:div>
    <w:div w:id="1011030700">
      <w:bodyDiv w:val="1"/>
      <w:marLeft w:val="0"/>
      <w:marRight w:val="0"/>
      <w:marTop w:val="0"/>
      <w:marBottom w:val="0"/>
      <w:divBdr>
        <w:top w:val="none" w:sz="0" w:space="0" w:color="auto"/>
        <w:left w:val="none" w:sz="0" w:space="0" w:color="auto"/>
        <w:bottom w:val="none" w:sz="0" w:space="0" w:color="auto"/>
        <w:right w:val="none" w:sz="0" w:space="0" w:color="auto"/>
      </w:divBdr>
    </w:div>
    <w:div w:id="1088966503">
      <w:bodyDiv w:val="1"/>
      <w:marLeft w:val="0"/>
      <w:marRight w:val="0"/>
      <w:marTop w:val="0"/>
      <w:marBottom w:val="0"/>
      <w:divBdr>
        <w:top w:val="none" w:sz="0" w:space="0" w:color="auto"/>
        <w:left w:val="none" w:sz="0" w:space="0" w:color="auto"/>
        <w:bottom w:val="none" w:sz="0" w:space="0" w:color="auto"/>
        <w:right w:val="none" w:sz="0" w:space="0" w:color="auto"/>
      </w:divBdr>
    </w:div>
    <w:div w:id="1101754015">
      <w:bodyDiv w:val="1"/>
      <w:marLeft w:val="0"/>
      <w:marRight w:val="0"/>
      <w:marTop w:val="0"/>
      <w:marBottom w:val="0"/>
      <w:divBdr>
        <w:top w:val="none" w:sz="0" w:space="0" w:color="auto"/>
        <w:left w:val="none" w:sz="0" w:space="0" w:color="auto"/>
        <w:bottom w:val="none" w:sz="0" w:space="0" w:color="auto"/>
        <w:right w:val="none" w:sz="0" w:space="0" w:color="auto"/>
      </w:divBdr>
    </w:div>
    <w:div w:id="1129081534">
      <w:bodyDiv w:val="1"/>
      <w:marLeft w:val="0"/>
      <w:marRight w:val="0"/>
      <w:marTop w:val="0"/>
      <w:marBottom w:val="0"/>
      <w:divBdr>
        <w:top w:val="none" w:sz="0" w:space="0" w:color="auto"/>
        <w:left w:val="none" w:sz="0" w:space="0" w:color="auto"/>
        <w:bottom w:val="none" w:sz="0" w:space="0" w:color="auto"/>
        <w:right w:val="none" w:sz="0" w:space="0" w:color="auto"/>
      </w:divBdr>
    </w:div>
    <w:div w:id="1134762309">
      <w:bodyDiv w:val="1"/>
      <w:marLeft w:val="0"/>
      <w:marRight w:val="0"/>
      <w:marTop w:val="0"/>
      <w:marBottom w:val="0"/>
      <w:divBdr>
        <w:top w:val="none" w:sz="0" w:space="0" w:color="auto"/>
        <w:left w:val="none" w:sz="0" w:space="0" w:color="auto"/>
        <w:bottom w:val="none" w:sz="0" w:space="0" w:color="auto"/>
        <w:right w:val="none" w:sz="0" w:space="0" w:color="auto"/>
      </w:divBdr>
    </w:div>
    <w:div w:id="1190751994">
      <w:bodyDiv w:val="1"/>
      <w:marLeft w:val="0"/>
      <w:marRight w:val="0"/>
      <w:marTop w:val="0"/>
      <w:marBottom w:val="0"/>
      <w:divBdr>
        <w:top w:val="none" w:sz="0" w:space="0" w:color="auto"/>
        <w:left w:val="none" w:sz="0" w:space="0" w:color="auto"/>
        <w:bottom w:val="none" w:sz="0" w:space="0" w:color="auto"/>
        <w:right w:val="none" w:sz="0" w:space="0" w:color="auto"/>
      </w:divBdr>
    </w:div>
    <w:div w:id="1194229321">
      <w:bodyDiv w:val="1"/>
      <w:marLeft w:val="0"/>
      <w:marRight w:val="0"/>
      <w:marTop w:val="0"/>
      <w:marBottom w:val="0"/>
      <w:divBdr>
        <w:top w:val="none" w:sz="0" w:space="0" w:color="auto"/>
        <w:left w:val="none" w:sz="0" w:space="0" w:color="auto"/>
        <w:bottom w:val="none" w:sz="0" w:space="0" w:color="auto"/>
        <w:right w:val="none" w:sz="0" w:space="0" w:color="auto"/>
      </w:divBdr>
    </w:div>
    <w:div w:id="1302079437">
      <w:bodyDiv w:val="1"/>
      <w:marLeft w:val="0"/>
      <w:marRight w:val="0"/>
      <w:marTop w:val="0"/>
      <w:marBottom w:val="0"/>
      <w:divBdr>
        <w:top w:val="none" w:sz="0" w:space="0" w:color="auto"/>
        <w:left w:val="none" w:sz="0" w:space="0" w:color="auto"/>
        <w:bottom w:val="none" w:sz="0" w:space="0" w:color="auto"/>
        <w:right w:val="none" w:sz="0" w:space="0" w:color="auto"/>
      </w:divBdr>
    </w:div>
    <w:div w:id="1320648272">
      <w:bodyDiv w:val="1"/>
      <w:marLeft w:val="0"/>
      <w:marRight w:val="0"/>
      <w:marTop w:val="0"/>
      <w:marBottom w:val="0"/>
      <w:divBdr>
        <w:top w:val="none" w:sz="0" w:space="0" w:color="auto"/>
        <w:left w:val="none" w:sz="0" w:space="0" w:color="auto"/>
        <w:bottom w:val="none" w:sz="0" w:space="0" w:color="auto"/>
        <w:right w:val="none" w:sz="0" w:space="0" w:color="auto"/>
      </w:divBdr>
    </w:div>
    <w:div w:id="1462184612">
      <w:bodyDiv w:val="1"/>
      <w:marLeft w:val="0"/>
      <w:marRight w:val="0"/>
      <w:marTop w:val="0"/>
      <w:marBottom w:val="0"/>
      <w:divBdr>
        <w:top w:val="none" w:sz="0" w:space="0" w:color="auto"/>
        <w:left w:val="none" w:sz="0" w:space="0" w:color="auto"/>
        <w:bottom w:val="none" w:sz="0" w:space="0" w:color="auto"/>
        <w:right w:val="none" w:sz="0" w:space="0" w:color="auto"/>
      </w:divBdr>
    </w:div>
    <w:div w:id="1490250664">
      <w:bodyDiv w:val="1"/>
      <w:marLeft w:val="0"/>
      <w:marRight w:val="0"/>
      <w:marTop w:val="0"/>
      <w:marBottom w:val="0"/>
      <w:divBdr>
        <w:top w:val="none" w:sz="0" w:space="0" w:color="auto"/>
        <w:left w:val="none" w:sz="0" w:space="0" w:color="auto"/>
        <w:bottom w:val="none" w:sz="0" w:space="0" w:color="auto"/>
        <w:right w:val="none" w:sz="0" w:space="0" w:color="auto"/>
      </w:divBdr>
    </w:div>
    <w:div w:id="1546479257">
      <w:bodyDiv w:val="1"/>
      <w:marLeft w:val="0"/>
      <w:marRight w:val="0"/>
      <w:marTop w:val="0"/>
      <w:marBottom w:val="0"/>
      <w:divBdr>
        <w:top w:val="none" w:sz="0" w:space="0" w:color="auto"/>
        <w:left w:val="none" w:sz="0" w:space="0" w:color="auto"/>
        <w:bottom w:val="none" w:sz="0" w:space="0" w:color="auto"/>
        <w:right w:val="none" w:sz="0" w:space="0" w:color="auto"/>
      </w:divBdr>
    </w:div>
    <w:div w:id="1560483488">
      <w:bodyDiv w:val="1"/>
      <w:marLeft w:val="0"/>
      <w:marRight w:val="0"/>
      <w:marTop w:val="0"/>
      <w:marBottom w:val="0"/>
      <w:divBdr>
        <w:top w:val="none" w:sz="0" w:space="0" w:color="auto"/>
        <w:left w:val="none" w:sz="0" w:space="0" w:color="auto"/>
        <w:bottom w:val="none" w:sz="0" w:space="0" w:color="auto"/>
        <w:right w:val="none" w:sz="0" w:space="0" w:color="auto"/>
      </w:divBdr>
    </w:div>
    <w:div w:id="1648242531">
      <w:bodyDiv w:val="1"/>
      <w:marLeft w:val="0"/>
      <w:marRight w:val="0"/>
      <w:marTop w:val="0"/>
      <w:marBottom w:val="0"/>
      <w:divBdr>
        <w:top w:val="none" w:sz="0" w:space="0" w:color="auto"/>
        <w:left w:val="none" w:sz="0" w:space="0" w:color="auto"/>
        <w:bottom w:val="none" w:sz="0" w:space="0" w:color="auto"/>
        <w:right w:val="none" w:sz="0" w:space="0" w:color="auto"/>
      </w:divBdr>
    </w:div>
    <w:div w:id="1742603656">
      <w:bodyDiv w:val="1"/>
      <w:marLeft w:val="0"/>
      <w:marRight w:val="0"/>
      <w:marTop w:val="0"/>
      <w:marBottom w:val="0"/>
      <w:divBdr>
        <w:top w:val="none" w:sz="0" w:space="0" w:color="auto"/>
        <w:left w:val="none" w:sz="0" w:space="0" w:color="auto"/>
        <w:bottom w:val="none" w:sz="0" w:space="0" w:color="auto"/>
        <w:right w:val="none" w:sz="0" w:space="0" w:color="auto"/>
      </w:divBdr>
    </w:div>
    <w:div w:id="1765685751">
      <w:bodyDiv w:val="1"/>
      <w:marLeft w:val="0"/>
      <w:marRight w:val="0"/>
      <w:marTop w:val="0"/>
      <w:marBottom w:val="0"/>
      <w:divBdr>
        <w:top w:val="none" w:sz="0" w:space="0" w:color="auto"/>
        <w:left w:val="none" w:sz="0" w:space="0" w:color="auto"/>
        <w:bottom w:val="none" w:sz="0" w:space="0" w:color="auto"/>
        <w:right w:val="none" w:sz="0" w:space="0" w:color="auto"/>
      </w:divBdr>
    </w:div>
    <w:div w:id="1810899613">
      <w:bodyDiv w:val="1"/>
      <w:marLeft w:val="0"/>
      <w:marRight w:val="0"/>
      <w:marTop w:val="0"/>
      <w:marBottom w:val="0"/>
      <w:divBdr>
        <w:top w:val="none" w:sz="0" w:space="0" w:color="auto"/>
        <w:left w:val="none" w:sz="0" w:space="0" w:color="auto"/>
        <w:bottom w:val="none" w:sz="0" w:space="0" w:color="auto"/>
        <w:right w:val="none" w:sz="0" w:space="0" w:color="auto"/>
      </w:divBdr>
    </w:div>
    <w:div w:id="1819614099">
      <w:bodyDiv w:val="1"/>
      <w:marLeft w:val="0"/>
      <w:marRight w:val="0"/>
      <w:marTop w:val="0"/>
      <w:marBottom w:val="0"/>
      <w:divBdr>
        <w:top w:val="none" w:sz="0" w:space="0" w:color="auto"/>
        <w:left w:val="none" w:sz="0" w:space="0" w:color="auto"/>
        <w:bottom w:val="none" w:sz="0" w:space="0" w:color="auto"/>
        <w:right w:val="none" w:sz="0" w:space="0" w:color="auto"/>
      </w:divBdr>
    </w:div>
    <w:div w:id="1822771290">
      <w:bodyDiv w:val="1"/>
      <w:marLeft w:val="0"/>
      <w:marRight w:val="0"/>
      <w:marTop w:val="0"/>
      <w:marBottom w:val="0"/>
      <w:divBdr>
        <w:top w:val="none" w:sz="0" w:space="0" w:color="auto"/>
        <w:left w:val="none" w:sz="0" w:space="0" w:color="auto"/>
        <w:bottom w:val="none" w:sz="0" w:space="0" w:color="auto"/>
        <w:right w:val="none" w:sz="0" w:space="0" w:color="auto"/>
      </w:divBdr>
    </w:div>
    <w:div w:id="1914318323">
      <w:bodyDiv w:val="1"/>
      <w:marLeft w:val="0"/>
      <w:marRight w:val="0"/>
      <w:marTop w:val="0"/>
      <w:marBottom w:val="0"/>
      <w:divBdr>
        <w:top w:val="none" w:sz="0" w:space="0" w:color="auto"/>
        <w:left w:val="none" w:sz="0" w:space="0" w:color="auto"/>
        <w:bottom w:val="none" w:sz="0" w:space="0" w:color="auto"/>
        <w:right w:val="none" w:sz="0" w:space="0" w:color="auto"/>
      </w:divBdr>
    </w:div>
    <w:div w:id="1931693159">
      <w:bodyDiv w:val="1"/>
      <w:marLeft w:val="0"/>
      <w:marRight w:val="0"/>
      <w:marTop w:val="0"/>
      <w:marBottom w:val="0"/>
      <w:divBdr>
        <w:top w:val="none" w:sz="0" w:space="0" w:color="auto"/>
        <w:left w:val="none" w:sz="0" w:space="0" w:color="auto"/>
        <w:bottom w:val="none" w:sz="0" w:space="0" w:color="auto"/>
        <w:right w:val="none" w:sz="0" w:space="0" w:color="auto"/>
      </w:divBdr>
    </w:div>
    <w:div w:id="2047439964">
      <w:bodyDiv w:val="1"/>
      <w:marLeft w:val="0"/>
      <w:marRight w:val="0"/>
      <w:marTop w:val="0"/>
      <w:marBottom w:val="0"/>
      <w:divBdr>
        <w:top w:val="none" w:sz="0" w:space="0" w:color="auto"/>
        <w:left w:val="none" w:sz="0" w:space="0" w:color="auto"/>
        <w:bottom w:val="none" w:sz="0" w:space="0" w:color="auto"/>
        <w:right w:val="none" w:sz="0" w:space="0" w:color="auto"/>
      </w:divBdr>
    </w:div>
    <w:div w:id="20591574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2.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D564016E-53BE-4DF6-ABB2-3544F01784A3}">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4E75E62-8312-456B-A269-195054B19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1298</Words>
  <Characters>7402</Characters>
  <Application>Microsoft Office Word</Application>
  <DocSecurity>0</DocSecurity>
  <Lines>61</Lines>
  <Paragraphs>17</Paragraphs>
  <ScaleCrop>false</ScaleCrop>
  <Company/>
  <LinksUpToDate>false</LinksUpToDate>
  <CharactersWithSpaces>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vivo_wyy</cp:lastModifiedBy>
  <cp:revision>5</cp:revision>
  <dcterms:created xsi:type="dcterms:W3CDTF">2023-11-03T07:08:00Z</dcterms:created>
  <dcterms:modified xsi:type="dcterms:W3CDTF">2023-11-03T07:47:00Z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2052-11.1.0.11744</vt:lpwstr>
  </property>
  <property fmtid="{D5CDD505-2E9C-101B-9397-08002B2CF9AE}" pid="5" name="ICV">
    <vt:lpwstr>41307DDD24D646A38FA83050C1604C92</vt:lpwstr>
  </property>
</Properties>
</file>